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27" w:rsidRDefault="008B0D27" w:rsidP="00937796">
      <w:pPr>
        <w:pStyle w:val="Default"/>
        <w:jc w:val="center"/>
        <w:rPr>
          <w:b/>
          <w:sz w:val="22"/>
          <w:szCs w:val="22"/>
        </w:rPr>
      </w:pPr>
      <w:r w:rsidRPr="00975999">
        <w:rPr>
          <w:b/>
          <w:sz w:val="22"/>
          <w:szCs w:val="22"/>
        </w:rPr>
        <w:t>Medicare Reimbursement for Depression Screening in Adults</w:t>
      </w:r>
    </w:p>
    <w:p w:rsidR="008B0D27" w:rsidRPr="00B707CD" w:rsidRDefault="00B707CD" w:rsidP="00937796">
      <w:pPr>
        <w:pStyle w:val="Default"/>
        <w:jc w:val="center"/>
        <w:rPr>
          <w:b/>
          <w:sz w:val="16"/>
          <w:szCs w:val="16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16"/>
          <w:szCs w:val="16"/>
        </w:rPr>
        <w:t>developed</w:t>
      </w:r>
      <w:proofErr w:type="gramEnd"/>
      <w:r>
        <w:rPr>
          <w:b/>
          <w:sz w:val="16"/>
          <w:szCs w:val="16"/>
        </w:rPr>
        <w:t xml:space="preserve"> by the Patient Center</w:t>
      </w:r>
      <w:r w:rsidR="00E251C3">
        <w:rPr>
          <w:b/>
          <w:sz w:val="16"/>
          <w:szCs w:val="16"/>
        </w:rPr>
        <w:t>ed</w:t>
      </w:r>
      <w:r>
        <w:rPr>
          <w:b/>
          <w:sz w:val="16"/>
          <w:szCs w:val="16"/>
        </w:rPr>
        <w:t xml:space="preserve"> Primary Care Coalition Behavior</w:t>
      </w:r>
      <w:r w:rsidR="00E251C3">
        <w:rPr>
          <w:b/>
          <w:sz w:val="16"/>
          <w:szCs w:val="16"/>
        </w:rPr>
        <w:t>al</w:t>
      </w:r>
      <w:r>
        <w:rPr>
          <w:b/>
          <w:sz w:val="16"/>
          <w:szCs w:val="16"/>
        </w:rPr>
        <w:t xml:space="preserve"> Health Workgroup---Board Approval Pending)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927"/>
      </w:tblGrid>
      <w:tr w:rsidR="008B0D27" w:rsidTr="00E520C7">
        <w:tc>
          <w:tcPr>
            <w:tcW w:w="2628" w:type="dxa"/>
            <w:shd w:val="clear" w:color="auto" w:fill="99CCFF"/>
          </w:tcPr>
          <w:p w:rsidR="008B0D27" w:rsidRPr="00E520C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520C7">
              <w:rPr>
                <w:b/>
                <w:sz w:val="22"/>
                <w:szCs w:val="22"/>
              </w:rPr>
              <w:t xml:space="preserve">Medicare Benefit </w:t>
            </w:r>
          </w:p>
        </w:tc>
        <w:tc>
          <w:tcPr>
            <w:tcW w:w="7927" w:type="dxa"/>
            <w:shd w:val="clear" w:color="auto" w:fill="99CCFF"/>
          </w:tcPr>
          <w:p w:rsidR="008B0D27" w:rsidRPr="00E520C7" w:rsidRDefault="008B0D27" w:rsidP="004057B0">
            <w:pPr>
              <w:pStyle w:val="Default"/>
              <w:rPr>
                <w:b/>
                <w:sz w:val="20"/>
                <w:szCs w:val="20"/>
              </w:rPr>
            </w:pPr>
            <w:r w:rsidRPr="00E520C7">
              <w:rPr>
                <w:sz w:val="20"/>
                <w:szCs w:val="20"/>
              </w:rPr>
              <w:t>Reimbursed screening for depression</w:t>
            </w:r>
            <w:r>
              <w:rPr>
                <w:sz w:val="20"/>
                <w:szCs w:val="20"/>
              </w:rPr>
              <w:t xml:space="preserve"> in adults</w:t>
            </w:r>
            <w:r w:rsidRPr="00E520C7">
              <w:rPr>
                <w:sz w:val="20"/>
                <w:szCs w:val="20"/>
              </w:rPr>
              <w:t xml:space="preserve"> once-a-year under Fee-for-Service Medicare available since October 14, 2011. No coinsurance; no deductible for patient</w:t>
            </w:r>
          </w:p>
        </w:tc>
      </w:tr>
      <w:tr w:rsidR="008B0D27" w:rsidTr="00E520C7">
        <w:tc>
          <w:tcPr>
            <w:tcW w:w="2628" w:type="dxa"/>
          </w:tcPr>
          <w:p w:rsidR="008B0D2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520C7">
              <w:rPr>
                <w:b/>
                <w:sz w:val="22"/>
                <w:szCs w:val="22"/>
              </w:rPr>
              <w:t>Value to you and your patients</w:t>
            </w:r>
          </w:p>
          <w:p w:rsidR="008B0D27" w:rsidRPr="00E520C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27" w:type="dxa"/>
          </w:tcPr>
          <w:p w:rsidR="008B0D27" w:rsidRPr="00E520C7" w:rsidRDefault="008B0D27" w:rsidP="00E520C7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</w:t>
            </w:r>
            <w:r w:rsidRPr="00E520C7">
              <w:rPr>
                <w:sz w:val="20"/>
                <w:szCs w:val="20"/>
              </w:rPr>
              <w:t xml:space="preserve">epression screening and depression care support improves clinical outcomes in adults and older adults </w:t>
            </w:r>
            <w:r>
              <w:rPr>
                <w:sz w:val="20"/>
                <w:szCs w:val="20"/>
              </w:rPr>
              <w:t>and is recommended by the US Preventive Services Task Force (USPSTF)</w:t>
            </w:r>
          </w:p>
          <w:p w:rsidR="008B0D27" w:rsidRPr="00E520C7" w:rsidRDefault="008B0D27" w:rsidP="00E520C7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0"/>
                <w:szCs w:val="20"/>
              </w:rPr>
            </w:pPr>
            <w:r w:rsidRPr="00E520C7">
              <w:rPr>
                <w:sz w:val="20"/>
                <w:szCs w:val="20"/>
              </w:rPr>
              <w:t>Treating adu</w:t>
            </w:r>
            <w:r>
              <w:rPr>
                <w:sz w:val="20"/>
                <w:szCs w:val="20"/>
              </w:rPr>
              <w:t xml:space="preserve">lts and older adults diagnosed with depression </w:t>
            </w:r>
            <w:r w:rsidRPr="00E520C7">
              <w:rPr>
                <w:sz w:val="20"/>
                <w:szCs w:val="20"/>
              </w:rPr>
              <w:t>through screening in primary ca</w:t>
            </w:r>
            <w:r>
              <w:rPr>
                <w:sz w:val="20"/>
                <w:szCs w:val="20"/>
              </w:rPr>
              <w:t>re settings with antidepressant medications</w:t>
            </w:r>
            <w:r w:rsidRPr="00E520C7">
              <w:rPr>
                <w:sz w:val="20"/>
                <w:szCs w:val="20"/>
              </w:rPr>
              <w:t xml:space="preserve">, psychotherapy or both, </w:t>
            </w:r>
            <w:r>
              <w:rPr>
                <w:sz w:val="20"/>
                <w:szCs w:val="20"/>
              </w:rPr>
              <w:t>result</w:t>
            </w:r>
            <w:r w:rsidRPr="00E520C7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in improved clinical outcomes and overall</w:t>
            </w:r>
            <w:r w:rsidRPr="00E52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enhanced </w:t>
            </w:r>
            <w:r w:rsidRPr="00E520C7">
              <w:rPr>
                <w:sz w:val="20"/>
                <w:szCs w:val="20"/>
              </w:rPr>
              <w:t>morbidity</w:t>
            </w:r>
          </w:p>
        </w:tc>
      </w:tr>
      <w:tr w:rsidR="008B0D27" w:rsidTr="00E520C7">
        <w:tc>
          <w:tcPr>
            <w:tcW w:w="2628" w:type="dxa"/>
            <w:shd w:val="clear" w:color="auto" w:fill="99CCFF"/>
          </w:tcPr>
          <w:p w:rsidR="008B0D27" w:rsidRPr="00E520C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520C7">
              <w:rPr>
                <w:b/>
                <w:sz w:val="22"/>
                <w:szCs w:val="22"/>
              </w:rPr>
              <w:t>Procedure Code</w:t>
            </w:r>
          </w:p>
        </w:tc>
        <w:tc>
          <w:tcPr>
            <w:tcW w:w="7927" w:type="dxa"/>
            <w:shd w:val="clear" w:color="auto" w:fill="99CCFF"/>
          </w:tcPr>
          <w:p w:rsidR="008B0D27" w:rsidRPr="00E520C7" w:rsidRDefault="008B0D27" w:rsidP="00716C0F">
            <w:pPr>
              <w:pStyle w:val="Default"/>
              <w:rPr>
                <w:b/>
                <w:sz w:val="20"/>
                <w:szCs w:val="20"/>
              </w:rPr>
            </w:pPr>
            <w:r w:rsidRPr="00E520C7">
              <w:rPr>
                <w:sz w:val="20"/>
                <w:szCs w:val="20"/>
              </w:rPr>
              <w:t>G0444 (Depression Screen – 15 minutes)</w:t>
            </w:r>
          </w:p>
        </w:tc>
      </w:tr>
      <w:tr w:rsidR="008B0D27" w:rsidTr="00E520C7">
        <w:tc>
          <w:tcPr>
            <w:tcW w:w="2628" w:type="dxa"/>
          </w:tcPr>
          <w:p w:rsidR="008B0D27" w:rsidRPr="00E520C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520C7">
              <w:rPr>
                <w:b/>
                <w:sz w:val="22"/>
                <w:szCs w:val="22"/>
              </w:rPr>
              <w:t>Eligibility</w:t>
            </w:r>
          </w:p>
        </w:tc>
        <w:tc>
          <w:tcPr>
            <w:tcW w:w="7927" w:type="dxa"/>
          </w:tcPr>
          <w:p w:rsidR="008B0D27" w:rsidRPr="005A01B1" w:rsidRDefault="008B0D27" w:rsidP="005A01B1">
            <w:pPr>
              <w:pStyle w:val="Default"/>
              <w:numPr>
                <w:ilvl w:val="0"/>
                <w:numId w:val="14"/>
              </w:numPr>
              <w:tabs>
                <w:tab w:val="clear" w:pos="1008"/>
                <w:tab w:val="num" w:pos="252"/>
              </w:tabs>
              <w:ind w:left="252" w:hanging="252"/>
              <w:rPr>
                <w:sz w:val="20"/>
                <w:szCs w:val="20"/>
              </w:rPr>
            </w:pPr>
            <w:r w:rsidRPr="00E520C7">
              <w:rPr>
                <w:sz w:val="20"/>
                <w:szCs w:val="20"/>
              </w:rPr>
              <w:t xml:space="preserve">Primary care settings with depression care supports in place (e.g., staff to report results </w:t>
            </w:r>
            <w:r>
              <w:rPr>
                <w:sz w:val="20"/>
                <w:szCs w:val="20"/>
              </w:rPr>
              <w:t xml:space="preserve">to PCP </w:t>
            </w:r>
            <w:r w:rsidRPr="00E520C7">
              <w:rPr>
                <w:sz w:val="20"/>
                <w:szCs w:val="20"/>
              </w:rPr>
              <w:t>and coordinate referrals).</w:t>
            </w:r>
            <w:r>
              <w:rPr>
                <w:sz w:val="20"/>
                <w:szCs w:val="20"/>
              </w:rPr>
              <w:t xml:space="preserve"> </w:t>
            </w:r>
            <w:r w:rsidRPr="005A01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5A01B1">
              <w:rPr>
                <w:sz w:val="20"/>
                <w:szCs w:val="20"/>
              </w:rPr>
              <w:t>ites screening for</w:t>
            </w:r>
            <w:r>
              <w:rPr>
                <w:sz w:val="20"/>
                <w:szCs w:val="20"/>
              </w:rPr>
              <w:t xml:space="preserve"> depression </w:t>
            </w:r>
            <w:r w:rsidRPr="005A01B1">
              <w:rPr>
                <w:sz w:val="20"/>
                <w:szCs w:val="20"/>
              </w:rPr>
              <w:t>should also offer ph</w:t>
            </w:r>
            <w:r>
              <w:rPr>
                <w:sz w:val="20"/>
                <w:szCs w:val="20"/>
              </w:rPr>
              <w:t>ysician feedback to patients,</w:t>
            </w:r>
            <w:r w:rsidRPr="005A01B1">
              <w:rPr>
                <w:sz w:val="20"/>
                <w:szCs w:val="20"/>
              </w:rPr>
              <w:t xml:space="preserve"> on-site treatment</w:t>
            </w:r>
            <w:r>
              <w:rPr>
                <w:sz w:val="20"/>
                <w:szCs w:val="20"/>
              </w:rPr>
              <w:t xml:space="preserve">, </w:t>
            </w:r>
            <w:r w:rsidRPr="005A01B1">
              <w:rPr>
                <w:sz w:val="20"/>
                <w:szCs w:val="20"/>
              </w:rPr>
              <w:t xml:space="preserve"> or staff support for successful referrals to appropriate treatment</w:t>
            </w:r>
          </w:p>
          <w:p w:rsidR="008B0D27" w:rsidRPr="00E520C7" w:rsidRDefault="008B0D27" w:rsidP="005A01B1">
            <w:pPr>
              <w:pStyle w:val="Default"/>
              <w:numPr>
                <w:ilvl w:val="0"/>
                <w:numId w:val="14"/>
              </w:numPr>
              <w:tabs>
                <w:tab w:val="clear" w:pos="1008"/>
                <w:tab w:val="num" w:pos="252"/>
              </w:tabs>
              <w:ind w:left="252" w:hanging="252"/>
              <w:rPr>
                <w:sz w:val="20"/>
                <w:szCs w:val="20"/>
              </w:rPr>
            </w:pPr>
            <w:r w:rsidRPr="00E520C7">
              <w:rPr>
                <w:sz w:val="20"/>
                <w:szCs w:val="20"/>
              </w:rPr>
              <w:t>Poi</w:t>
            </w:r>
            <w:r>
              <w:rPr>
                <w:sz w:val="20"/>
                <w:szCs w:val="20"/>
              </w:rPr>
              <w:t>nts of care eligible for reimbursement</w:t>
            </w:r>
            <w:r w:rsidRPr="00E520C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primary care </w:t>
            </w:r>
            <w:r w:rsidRPr="00E520C7">
              <w:rPr>
                <w:sz w:val="20"/>
                <w:szCs w:val="20"/>
              </w:rPr>
              <w:t xml:space="preserve">office, outpatient hospital, independent clinic, FQHC (federally qualified health center) state and local health clinic </w:t>
            </w:r>
            <w:r>
              <w:rPr>
                <w:sz w:val="20"/>
                <w:szCs w:val="20"/>
              </w:rPr>
              <w:t>and RHC (Rural health clinic</w:t>
            </w:r>
            <w:r w:rsidRPr="00E520C7">
              <w:rPr>
                <w:sz w:val="20"/>
                <w:szCs w:val="20"/>
              </w:rPr>
              <w:t>)</w:t>
            </w:r>
            <w:r w:rsidRPr="00E520C7">
              <w:rPr>
                <w:sz w:val="23"/>
                <w:szCs w:val="23"/>
              </w:rPr>
              <w:t>.</w:t>
            </w:r>
          </w:p>
        </w:tc>
      </w:tr>
      <w:tr w:rsidR="008B0D27" w:rsidTr="00E520C7">
        <w:tc>
          <w:tcPr>
            <w:tcW w:w="2628" w:type="dxa"/>
            <w:shd w:val="clear" w:color="auto" w:fill="99CCFF"/>
          </w:tcPr>
          <w:p w:rsidR="008B0D27" w:rsidRPr="00E520C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520C7">
              <w:rPr>
                <w:b/>
                <w:sz w:val="22"/>
                <w:szCs w:val="22"/>
              </w:rPr>
              <w:t>Referral Options</w:t>
            </w:r>
          </w:p>
        </w:tc>
        <w:tc>
          <w:tcPr>
            <w:tcW w:w="7927" w:type="dxa"/>
            <w:shd w:val="clear" w:color="auto" w:fill="99CCFF"/>
          </w:tcPr>
          <w:p w:rsidR="008B0D27" w:rsidRPr="00E520C7" w:rsidRDefault="008B0D27" w:rsidP="00FA188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If Behavioral Health specialist referral options are not available in your practice, consider c</w:t>
            </w:r>
            <w:r w:rsidRPr="00E520C7">
              <w:rPr>
                <w:sz w:val="20"/>
                <w:szCs w:val="20"/>
              </w:rPr>
              <w:t>onsult</w:t>
            </w:r>
            <w:r>
              <w:rPr>
                <w:sz w:val="20"/>
                <w:szCs w:val="20"/>
              </w:rPr>
              <w:t>ing</w:t>
            </w:r>
            <w:r w:rsidRPr="00E520C7">
              <w:rPr>
                <w:sz w:val="20"/>
                <w:szCs w:val="20"/>
              </w:rPr>
              <w:t xml:space="preserve"> local community mental health center, local chapters of the American Psychiatric Association, the American Psychological Association or National Association of Social Work </w:t>
            </w:r>
          </w:p>
        </w:tc>
      </w:tr>
      <w:tr w:rsidR="008B0D27" w:rsidTr="00E520C7">
        <w:tc>
          <w:tcPr>
            <w:tcW w:w="2628" w:type="dxa"/>
          </w:tcPr>
          <w:p w:rsidR="008B0D27" w:rsidRPr="00E520C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520C7">
              <w:rPr>
                <w:b/>
                <w:sz w:val="22"/>
                <w:szCs w:val="22"/>
              </w:rPr>
              <w:t>Recommended evidence-based screening</w:t>
            </w:r>
            <w:r>
              <w:rPr>
                <w:b/>
                <w:sz w:val="22"/>
                <w:szCs w:val="22"/>
              </w:rPr>
              <w:t xml:space="preserve"> tool with no license fee </w:t>
            </w:r>
          </w:p>
          <w:p w:rsidR="008B0D27" w:rsidRPr="00E520C7" w:rsidRDefault="008B0D27" w:rsidP="00E520C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27" w:type="dxa"/>
          </w:tcPr>
          <w:p w:rsidR="008B0D27" w:rsidRPr="00E520C7" w:rsidRDefault="008B0D27" w:rsidP="00E520C7">
            <w:pPr>
              <w:pStyle w:val="Default"/>
              <w:numPr>
                <w:ilvl w:val="0"/>
                <w:numId w:val="9"/>
              </w:numPr>
              <w:tabs>
                <w:tab w:val="clear" w:pos="720"/>
              </w:tabs>
              <w:ind w:left="252" w:hanging="180"/>
              <w:rPr>
                <w:sz w:val="20"/>
                <w:szCs w:val="20"/>
              </w:rPr>
            </w:pPr>
            <w:r w:rsidRPr="00E520C7">
              <w:rPr>
                <w:sz w:val="20"/>
                <w:szCs w:val="20"/>
              </w:rPr>
              <w:t>Patient Health Questionnaire (called the PHQ-9)</w:t>
            </w:r>
            <w:r w:rsidRPr="00E520C7" w:rsidDel="00B906C9">
              <w:rPr>
                <w:sz w:val="20"/>
                <w:szCs w:val="20"/>
              </w:rPr>
              <w:t xml:space="preserve"> </w:t>
            </w:r>
            <w:r w:rsidRPr="00E520C7">
              <w:rPr>
                <w:sz w:val="20"/>
                <w:szCs w:val="20"/>
              </w:rPr>
              <w:t>(see below) can be completed by patient and quickl</w:t>
            </w:r>
            <w:r>
              <w:rPr>
                <w:sz w:val="20"/>
                <w:szCs w:val="20"/>
              </w:rPr>
              <w:t xml:space="preserve">y scored by staff during the </w:t>
            </w:r>
            <w:r w:rsidR="00BE54DE">
              <w:rPr>
                <w:sz w:val="20"/>
                <w:szCs w:val="20"/>
              </w:rPr>
              <w:t xml:space="preserve">visit. </w:t>
            </w:r>
            <w:r w:rsidRPr="00E520C7">
              <w:rPr>
                <w:sz w:val="20"/>
                <w:szCs w:val="20"/>
              </w:rPr>
              <w:t xml:space="preserve"> A depression severity score of 5 or more reflects evidence of depression and an intervention should be </w:t>
            </w:r>
            <w:r>
              <w:rPr>
                <w:sz w:val="20"/>
                <w:szCs w:val="20"/>
              </w:rPr>
              <w:t>considered (see below)</w:t>
            </w:r>
            <w:r w:rsidRPr="00E520C7">
              <w:rPr>
                <w:sz w:val="20"/>
                <w:szCs w:val="20"/>
              </w:rPr>
              <w:t xml:space="preserve">. </w:t>
            </w:r>
          </w:p>
          <w:p w:rsidR="008B0D27" w:rsidRPr="00E520C7" w:rsidRDefault="008B0D27" w:rsidP="00E520C7">
            <w:pPr>
              <w:pStyle w:val="Default"/>
              <w:numPr>
                <w:ilvl w:val="0"/>
                <w:numId w:val="9"/>
              </w:numPr>
              <w:tabs>
                <w:tab w:val="clear" w:pos="720"/>
              </w:tabs>
              <w:ind w:left="252" w:hanging="180"/>
              <w:rPr>
                <w:sz w:val="20"/>
                <w:szCs w:val="20"/>
              </w:rPr>
            </w:pPr>
            <w:r w:rsidRPr="00E520C7">
              <w:rPr>
                <w:sz w:val="20"/>
                <w:szCs w:val="20"/>
              </w:rPr>
              <w:t>Alternatively, staff or physician can orally present the first 2 questions (P</w:t>
            </w:r>
            <w:r>
              <w:rPr>
                <w:sz w:val="20"/>
                <w:szCs w:val="20"/>
              </w:rPr>
              <w:t>HQ-2) as an initial screen. I</w:t>
            </w:r>
            <w:r w:rsidRPr="00E520C7">
              <w:rPr>
                <w:sz w:val="20"/>
                <w:szCs w:val="20"/>
              </w:rPr>
              <w:t>f the patient scores a 2 (more than half the days) or 3 (nearly e</w:t>
            </w:r>
            <w:r>
              <w:rPr>
                <w:sz w:val="20"/>
                <w:szCs w:val="20"/>
              </w:rPr>
              <w:t xml:space="preserve">very day) on either item, </w:t>
            </w:r>
            <w:r w:rsidRPr="00E520C7">
              <w:rPr>
                <w:sz w:val="20"/>
                <w:szCs w:val="20"/>
              </w:rPr>
              <w:t xml:space="preserve">the full PHQ-9 be </w:t>
            </w:r>
            <w:r>
              <w:rPr>
                <w:sz w:val="20"/>
                <w:szCs w:val="20"/>
              </w:rPr>
              <w:t xml:space="preserve">should </w:t>
            </w:r>
            <w:r w:rsidRPr="00E520C7">
              <w:rPr>
                <w:sz w:val="20"/>
                <w:szCs w:val="20"/>
              </w:rPr>
              <w:t>completed by the patient</w:t>
            </w:r>
            <w:r w:rsidRPr="00E520C7">
              <w:rPr>
                <w:sz w:val="22"/>
                <w:szCs w:val="22"/>
              </w:rPr>
              <w:t>.</w:t>
            </w:r>
          </w:p>
        </w:tc>
      </w:tr>
    </w:tbl>
    <w:p w:rsidR="008B0D27" w:rsidRPr="00544E53" w:rsidRDefault="008B0D27" w:rsidP="00937796">
      <w:pPr>
        <w:pStyle w:val="Default"/>
        <w:jc w:val="center"/>
        <w:rPr>
          <w:b/>
          <w:sz w:val="22"/>
          <w:szCs w:val="22"/>
          <w:vertAlign w:val="superscript"/>
        </w:rPr>
      </w:pPr>
    </w:p>
    <w:p w:rsidR="008B0D27" w:rsidRPr="00975999" w:rsidRDefault="008B0D27" w:rsidP="0038038F">
      <w:pPr>
        <w:pStyle w:val="Default"/>
        <w:rPr>
          <w:b/>
          <w:sz w:val="22"/>
          <w:szCs w:val="22"/>
        </w:rPr>
      </w:pPr>
      <w:r w:rsidRPr="00975999">
        <w:rPr>
          <w:b/>
          <w:sz w:val="22"/>
          <w:szCs w:val="22"/>
        </w:rPr>
        <w:t>Provisional Diagnoses</w:t>
      </w:r>
      <w:r>
        <w:rPr>
          <w:b/>
          <w:sz w:val="22"/>
          <w:szCs w:val="22"/>
        </w:rPr>
        <w:t>*</w:t>
      </w:r>
      <w:r w:rsidRPr="00975999">
        <w:rPr>
          <w:b/>
          <w:sz w:val="22"/>
          <w:szCs w:val="22"/>
        </w:rPr>
        <w:t xml:space="preserve"> and Treatment </w:t>
      </w:r>
      <w:r>
        <w:rPr>
          <w:b/>
          <w:sz w:val="22"/>
          <w:szCs w:val="22"/>
        </w:rPr>
        <w:t>Guidelines</w:t>
      </w:r>
      <w:r w:rsidRPr="00975999">
        <w:rPr>
          <w:b/>
          <w:sz w:val="22"/>
          <w:szCs w:val="22"/>
        </w:rPr>
        <w:t xml:space="preserve"> based on PHQ-9</w:t>
      </w:r>
      <w:r>
        <w:rPr>
          <w:b/>
          <w:sz w:val="22"/>
          <w:szCs w:val="22"/>
        </w:rPr>
        <w:t xml:space="preserve"> score</w:t>
      </w:r>
      <w:r w:rsidRPr="00975999">
        <w:rPr>
          <w:b/>
          <w:sz w:val="22"/>
          <w:szCs w:val="22"/>
        </w:rPr>
        <w:t>:</w:t>
      </w:r>
    </w:p>
    <w:p w:rsidR="008B0D27" w:rsidRPr="00975999" w:rsidRDefault="008B0D27" w:rsidP="0038038F">
      <w:pPr>
        <w:pStyle w:val="Default"/>
        <w:rPr>
          <w:b/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2880"/>
        <w:gridCol w:w="5940"/>
      </w:tblGrid>
      <w:tr w:rsidR="008B0D27" w:rsidRPr="00975999" w:rsidTr="00842DDB">
        <w:tc>
          <w:tcPr>
            <w:tcW w:w="1728" w:type="dxa"/>
            <w:shd w:val="clear" w:color="auto" w:fill="99CCFF"/>
          </w:tcPr>
          <w:p w:rsidR="008B0D27" w:rsidRPr="00975999" w:rsidRDefault="008B0D27" w:rsidP="00AD2FD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5999">
              <w:rPr>
                <w:b/>
                <w:sz w:val="22"/>
                <w:szCs w:val="22"/>
              </w:rPr>
              <w:t>PHQ-9 Score</w:t>
            </w:r>
          </w:p>
        </w:tc>
        <w:tc>
          <w:tcPr>
            <w:tcW w:w="2880" w:type="dxa"/>
            <w:shd w:val="clear" w:color="auto" w:fill="99CCFF"/>
          </w:tcPr>
          <w:p w:rsidR="008B0D27" w:rsidRPr="00975999" w:rsidRDefault="008B0D27" w:rsidP="00AD2FD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Severity: Provisional Diagnoses*</w:t>
            </w:r>
          </w:p>
        </w:tc>
        <w:tc>
          <w:tcPr>
            <w:tcW w:w="5940" w:type="dxa"/>
            <w:shd w:val="clear" w:color="auto" w:fill="99CCFF"/>
          </w:tcPr>
          <w:p w:rsidR="008B0D27" w:rsidRPr="00975999" w:rsidRDefault="008B0D27" w:rsidP="0038038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Proposed Actions/</w:t>
            </w:r>
            <w:r w:rsidRPr="00975999">
              <w:rPr>
                <w:b/>
                <w:sz w:val="22"/>
                <w:szCs w:val="22"/>
              </w:rPr>
              <w:t>Treatment Considerations</w:t>
            </w:r>
          </w:p>
        </w:tc>
      </w:tr>
      <w:tr w:rsidR="008B0D27" w:rsidRPr="00975999" w:rsidTr="00842DDB">
        <w:tc>
          <w:tcPr>
            <w:tcW w:w="1728" w:type="dxa"/>
          </w:tcPr>
          <w:p w:rsidR="008B0D27" w:rsidRPr="00325CEE" w:rsidRDefault="008B0D27" w:rsidP="00AD2FDB">
            <w:pPr>
              <w:pStyle w:val="Default"/>
              <w:jc w:val="center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>0-4</w:t>
            </w:r>
          </w:p>
        </w:tc>
        <w:tc>
          <w:tcPr>
            <w:tcW w:w="2880" w:type="dxa"/>
          </w:tcPr>
          <w:p w:rsidR="008B0D27" w:rsidRPr="00325CEE" w:rsidRDefault="008B0D27" w:rsidP="003803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None: </w:t>
            </w:r>
            <w:r w:rsidRPr="00325CEE">
              <w:rPr>
                <w:sz w:val="20"/>
                <w:szCs w:val="20"/>
              </w:rPr>
              <w:t>Minimal</w:t>
            </w:r>
          </w:p>
        </w:tc>
        <w:tc>
          <w:tcPr>
            <w:tcW w:w="5940" w:type="dxa"/>
          </w:tcPr>
          <w:p w:rsidR="008B0D27" w:rsidRPr="00325CEE" w:rsidRDefault="008B0D27" w:rsidP="003803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25CEE">
              <w:rPr>
                <w:sz w:val="20"/>
                <w:szCs w:val="20"/>
              </w:rPr>
              <w:t>None</w:t>
            </w:r>
          </w:p>
        </w:tc>
      </w:tr>
      <w:tr w:rsidR="008B0D27" w:rsidRPr="00975999" w:rsidTr="00842DDB">
        <w:tc>
          <w:tcPr>
            <w:tcW w:w="1728" w:type="dxa"/>
            <w:shd w:val="clear" w:color="auto" w:fill="99CCFF"/>
          </w:tcPr>
          <w:p w:rsidR="008B0D27" w:rsidRPr="00325CEE" w:rsidRDefault="008B0D27" w:rsidP="00AD2FDB">
            <w:pPr>
              <w:pStyle w:val="Default"/>
              <w:jc w:val="center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>5 - 9</w:t>
            </w:r>
          </w:p>
        </w:tc>
        <w:tc>
          <w:tcPr>
            <w:tcW w:w="2880" w:type="dxa"/>
            <w:shd w:val="clear" w:color="auto" w:fill="99CCFF"/>
          </w:tcPr>
          <w:p w:rsidR="008B0D27" w:rsidRPr="00325CEE" w:rsidRDefault="008B0D27" w:rsidP="003803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Mild: </w:t>
            </w:r>
            <w:r w:rsidRPr="00325CEE">
              <w:rPr>
                <w:sz w:val="20"/>
                <w:szCs w:val="20"/>
              </w:rPr>
              <w:t>Minimal depressive symptoms</w:t>
            </w:r>
          </w:p>
          <w:p w:rsidR="008B0D27" w:rsidRPr="00325CEE" w:rsidRDefault="008B0D27" w:rsidP="0038038F">
            <w:pPr>
              <w:pStyle w:val="Default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 xml:space="preserve">Depression diagnosis may not be appropriate. </w:t>
            </w:r>
          </w:p>
        </w:tc>
        <w:tc>
          <w:tcPr>
            <w:tcW w:w="5940" w:type="dxa"/>
            <w:shd w:val="clear" w:color="auto" w:fill="99CCFF"/>
          </w:tcPr>
          <w:p w:rsidR="008B0D27" w:rsidRDefault="008B0D27" w:rsidP="001F62F3">
            <w:pPr>
              <w:pStyle w:val="Default"/>
              <w:numPr>
                <w:ilvl w:val="0"/>
                <w:numId w:val="10"/>
              </w:numPr>
              <w:tabs>
                <w:tab w:val="clear" w:pos="720"/>
              </w:tabs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Watchful waiting - provide support (e.g., e</w:t>
            </w:r>
            <w:r w:rsidRPr="00325CEE">
              <w:rPr>
                <w:sz w:val="20"/>
                <w:szCs w:val="20"/>
              </w:rPr>
              <w:t>ducate patie</w:t>
            </w:r>
            <w:r>
              <w:rPr>
                <w:sz w:val="20"/>
                <w:szCs w:val="20"/>
              </w:rPr>
              <w:t>nt to call if symptoms worsen; 0ffer self- help recommendations (books, websites)</w:t>
            </w:r>
          </w:p>
          <w:p w:rsidR="008B0D27" w:rsidRPr="00325CEE" w:rsidRDefault="008B0D27" w:rsidP="001F62F3">
            <w:pPr>
              <w:pStyle w:val="Default"/>
              <w:numPr>
                <w:ilvl w:val="0"/>
                <w:numId w:val="10"/>
              </w:numPr>
              <w:tabs>
                <w:tab w:val="clear" w:pos="720"/>
              </w:tabs>
              <w:ind w:left="252" w:hanging="180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>Have patient return in 1 month to repeat screening and reassess</w:t>
            </w:r>
          </w:p>
        </w:tc>
      </w:tr>
      <w:tr w:rsidR="008B0D27" w:rsidRPr="00975999" w:rsidTr="00842DDB">
        <w:tc>
          <w:tcPr>
            <w:tcW w:w="1728" w:type="dxa"/>
          </w:tcPr>
          <w:p w:rsidR="008B0D27" w:rsidRPr="00325CEE" w:rsidRDefault="008B0D27" w:rsidP="00AD2FDB">
            <w:pPr>
              <w:pStyle w:val="Default"/>
              <w:jc w:val="center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>10-14</w:t>
            </w:r>
          </w:p>
        </w:tc>
        <w:tc>
          <w:tcPr>
            <w:tcW w:w="2880" w:type="dxa"/>
          </w:tcPr>
          <w:p w:rsidR="008B0D27" w:rsidRPr="00325CEE" w:rsidRDefault="008B0D27" w:rsidP="008F6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Moderate: Minor Depression, or </w:t>
            </w:r>
            <w:r w:rsidRPr="00325CEE">
              <w:rPr>
                <w:sz w:val="20"/>
                <w:szCs w:val="20"/>
              </w:rPr>
              <w:t>Dysthymia</w:t>
            </w:r>
          </w:p>
        </w:tc>
        <w:tc>
          <w:tcPr>
            <w:tcW w:w="5940" w:type="dxa"/>
          </w:tcPr>
          <w:p w:rsidR="008B0D27" w:rsidRDefault="008B0D27" w:rsidP="001F62F3">
            <w:pPr>
              <w:pStyle w:val="Default"/>
              <w:numPr>
                <w:ilvl w:val="0"/>
                <w:numId w:val="11"/>
              </w:numPr>
              <w:tabs>
                <w:tab w:val="clear" w:pos="720"/>
              </w:tabs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treatment plan with consideration of counseling/psychotherapy, antidepressant medication and follow-up.</w:t>
            </w:r>
          </w:p>
          <w:p w:rsidR="008B0D27" w:rsidRPr="00325CEE" w:rsidRDefault="008B0D27" w:rsidP="001F62F3">
            <w:pPr>
              <w:pStyle w:val="Default"/>
              <w:numPr>
                <w:ilvl w:val="0"/>
                <w:numId w:val="11"/>
              </w:numPr>
              <w:tabs>
                <w:tab w:val="clear" w:pos="720"/>
              </w:tabs>
              <w:ind w:left="252" w:hanging="252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 xml:space="preserve">Monitor with continued screenings over time  </w:t>
            </w:r>
          </w:p>
        </w:tc>
      </w:tr>
      <w:tr w:rsidR="008B0D27" w:rsidRPr="00975999" w:rsidTr="00842DDB">
        <w:tc>
          <w:tcPr>
            <w:tcW w:w="1728" w:type="dxa"/>
            <w:shd w:val="clear" w:color="auto" w:fill="99CCFF"/>
          </w:tcPr>
          <w:p w:rsidR="008B0D27" w:rsidRPr="00325CEE" w:rsidRDefault="008B0D27" w:rsidP="00AD2FDB">
            <w:pPr>
              <w:pStyle w:val="Default"/>
              <w:jc w:val="center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>15-19</w:t>
            </w:r>
          </w:p>
        </w:tc>
        <w:tc>
          <w:tcPr>
            <w:tcW w:w="2880" w:type="dxa"/>
            <w:shd w:val="clear" w:color="auto" w:fill="99CCFF"/>
          </w:tcPr>
          <w:p w:rsidR="008B0D27" w:rsidRPr="00325CEE" w:rsidRDefault="008B0D27" w:rsidP="003803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325CEE">
              <w:rPr>
                <w:sz w:val="20"/>
                <w:szCs w:val="20"/>
              </w:rPr>
              <w:t>oderately severe</w:t>
            </w:r>
            <w:r>
              <w:rPr>
                <w:sz w:val="20"/>
                <w:szCs w:val="20"/>
              </w:rPr>
              <w:t>: Depression</w:t>
            </w:r>
          </w:p>
        </w:tc>
        <w:tc>
          <w:tcPr>
            <w:tcW w:w="5940" w:type="dxa"/>
            <w:shd w:val="clear" w:color="auto" w:fill="99CCFF"/>
          </w:tcPr>
          <w:p w:rsidR="008B0D27" w:rsidRDefault="008B0D27" w:rsidP="00B33F61">
            <w:pPr>
              <w:pStyle w:val="Default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initiating anti-depressant </w:t>
            </w:r>
            <w:r w:rsidRPr="00325CEE">
              <w:rPr>
                <w:sz w:val="20"/>
                <w:szCs w:val="20"/>
              </w:rPr>
              <w:t xml:space="preserve">medication </w:t>
            </w:r>
            <w:r>
              <w:rPr>
                <w:sz w:val="20"/>
                <w:szCs w:val="20"/>
              </w:rPr>
              <w:t>and/or refer for psychotherapy and/or antidepressant medication</w:t>
            </w:r>
          </w:p>
          <w:p w:rsidR="008B0D27" w:rsidRPr="00325CEE" w:rsidRDefault="008B0D27" w:rsidP="00B33F61">
            <w:pPr>
              <w:pStyle w:val="Default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0"/>
                <w:szCs w:val="20"/>
              </w:rPr>
            </w:pPr>
            <w:bookmarkStart w:id="0" w:name="OLE_LINK1"/>
            <w:bookmarkStart w:id="1" w:name="OLE_LINK2"/>
            <w:r w:rsidRPr="00325CEE">
              <w:rPr>
                <w:sz w:val="20"/>
                <w:szCs w:val="20"/>
              </w:rPr>
              <w:t xml:space="preserve">Monitor with continued screenings over time  </w:t>
            </w:r>
            <w:bookmarkEnd w:id="0"/>
            <w:bookmarkEnd w:id="1"/>
          </w:p>
        </w:tc>
      </w:tr>
      <w:tr w:rsidR="008B0D27" w:rsidRPr="00975999" w:rsidTr="00842DDB">
        <w:tc>
          <w:tcPr>
            <w:tcW w:w="1728" w:type="dxa"/>
          </w:tcPr>
          <w:p w:rsidR="008B0D27" w:rsidRPr="00325CEE" w:rsidRDefault="008B0D27" w:rsidP="00AD2FDB">
            <w:pPr>
              <w:pStyle w:val="Default"/>
              <w:jc w:val="center"/>
              <w:rPr>
                <w:sz w:val="20"/>
                <w:szCs w:val="20"/>
              </w:rPr>
            </w:pPr>
            <w:r w:rsidRPr="00325CEE">
              <w:rPr>
                <w:sz w:val="20"/>
                <w:szCs w:val="20"/>
              </w:rPr>
              <w:t>20 or greater</w:t>
            </w:r>
          </w:p>
        </w:tc>
        <w:tc>
          <w:tcPr>
            <w:tcW w:w="2880" w:type="dxa"/>
          </w:tcPr>
          <w:p w:rsidR="008B0D27" w:rsidRPr="00325CEE" w:rsidRDefault="008B0D27" w:rsidP="003803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25CEE">
              <w:rPr>
                <w:sz w:val="20"/>
                <w:szCs w:val="20"/>
              </w:rPr>
              <w:t>evere</w:t>
            </w:r>
            <w:r>
              <w:rPr>
                <w:sz w:val="20"/>
                <w:szCs w:val="20"/>
              </w:rPr>
              <w:t>: Major depression</w:t>
            </w:r>
          </w:p>
        </w:tc>
        <w:tc>
          <w:tcPr>
            <w:tcW w:w="5940" w:type="dxa"/>
          </w:tcPr>
          <w:p w:rsidR="008B0D27" w:rsidRPr="00B46CC2" w:rsidRDefault="008B0D27" w:rsidP="0061012B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1012B">
              <w:rPr>
                <w:rFonts w:ascii="Arial" w:hAnsi="Arial" w:cs="Arial"/>
                <w:color w:val="000000"/>
                <w:sz w:val="20"/>
                <w:szCs w:val="20"/>
              </w:rPr>
              <w:t>xpedited referral to a mental health specialist for psychotherapy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and/or antidepressant medication and </w:t>
            </w:r>
            <w:r w:rsidRPr="0061012B">
              <w:rPr>
                <w:rFonts w:ascii="Arial" w:hAnsi="Arial" w:cs="Arial"/>
                <w:color w:val="000000"/>
                <w:sz w:val="20"/>
                <w:szCs w:val="20"/>
              </w:rPr>
              <w:t>collaborative management</w:t>
            </w:r>
          </w:p>
          <w:p w:rsidR="008B0D27" w:rsidRPr="0061012B" w:rsidRDefault="008B0D27" w:rsidP="00525DFD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Consider </w:t>
            </w:r>
            <w:r w:rsidRPr="0061012B">
              <w:rPr>
                <w:rFonts w:ascii="Arial" w:hAnsi="Arial" w:cs="Arial"/>
                <w:color w:val="000000"/>
                <w:sz w:val="20"/>
                <w:szCs w:val="20"/>
              </w:rPr>
              <w:t>Immediate initia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tion of anti-depressant medication </w:t>
            </w:r>
          </w:p>
          <w:p w:rsidR="008B0D27" w:rsidRPr="00842DDB" w:rsidRDefault="008B0D27" w:rsidP="00842DDB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842DDB">
              <w:rPr>
                <w:rFonts w:ascii="Arial" w:hAnsi="Arial"/>
                <w:sz w:val="20"/>
                <w:szCs w:val="20"/>
              </w:rPr>
              <w:t xml:space="preserve">Monitor with continued screenings over time  </w:t>
            </w:r>
          </w:p>
        </w:tc>
      </w:tr>
    </w:tbl>
    <w:p w:rsidR="008B0D27" w:rsidRDefault="008B0D27" w:rsidP="00CA51A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 xml:space="preserve">Adapted with modification from: </w:t>
      </w:r>
      <w:proofErr w:type="spellStart"/>
      <w:r>
        <w:rPr>
          <w:rFonts w:ascii="Tahoma" w:hAnsi="Tahoma" w:cs="Tahoma"/>
          <w:sz w:val="20"/>
          <w:szCs w:val="20"/>
        </w:rPr>
        <w:t>Kroenke</w:t>
      </w:r>
      <w:proofErr w:type="spellEnd"/>
      <w:r>
        <w:rPr>
          <w:rFonts w:ascii="Tahoma" w:hAnsi="Tahoma" w:cs="Tahoma"/>
          <w:sz w:val="20"/>
          <w:szCs w:val="20"/>
        </w:rPr>
        <w:t xml:space="preserve"> K, Spitzer RL, </w:t>
      </w:r>
      <w:proofErr w:type="gramStart"/>
      <w:r>
        <w:rPr>
          <w:rFonts w:ascii="Tahoma" w:hAnsi="Tahoma" w:cs="Tahoma"/>
          <w:sz w:val="20"/>
          <w:szCs w:val="20"/>
        </w:rPr>
        <w:t>The</w:t>
      </w:r>
      <w:proofErr w:type="gramEnd"/>
      <w:r>
        <w:rPr>
          <w:rFonts w:ascii="Tahoma" w:hAnsi="Tahoma" w:cs="Tahoma"/>
          <w:sz w:val="20"/>
          <w:szCs w:val="20"/>
        </w:rPr>
        <w:t xml:space="preserve"> PHQ-9: A new depression and diagnostic severity measure Psychiatric Annals 2002;</w:t>
      </w:r>
      <w:r w:rsidR="00DD5C36">
        <w:rPr>
          <w:rFonts w:ascii="Tahoma" w:hAnsi="Tahoma" w:cs="Tahoma"/>
          <w:sz w:val="20"/>
          <w:szCs w:val="20"/>
        </w:rPr>
        <w:t xml:space="preserve"> </w:t>
      </w:r>
      <w:bookmarkStart w:id="2" w:name="_GoBack"/>
      <w:bookmarkEnd w:id="2"/>
      <w:r>
        <w:rPr>
          <w:rFonts w:ascii="Tahoma" w:hAnsi="Tahoma" w:cs="Tahoma"/>
          <w:sz w:val="20"/>
          <w:szCs w:val="20"/>
        </w:rPr>
        <w:t>32:509-521</w:t>
      </w:r>
    </w:p>
    <w:p w:rsidR="008B0D27" w:rsidRPr="00852F93" w:rsidRDefault="008F0604" w:rsidP="007647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*A screening tool</w:t>
      </w:r>
      <w:r w:rsidR="008B0D27" w:rsidRPr="00852F93">
        <w:rPr>
          <w:rFonts w:ascii="Arial" w:hAnsi="Arial" w:cs="Arial"/>
          <w:b/>
          <w:sz w:val="20"/>
          <w:szCs w:val="20"/>
        </w:rPr>
        <w:t xml:space="preserve"> should not be the sole basis for </w:t>
      </w:r>
      <w:r>
        <w:rPr>
          <w:rFonts w:ascii="Arial" w:hAnsi="Arial" w:cs="Arial"/>
          <w:b/>
          <w:sz w:val="20"/>
          <w:szCs w:val="20"/>
        </w:rPr>
        <w:t>a diagnosis</w:t>
      </w:r>
      <w:r w:rsidR="008B0D27" w:rsidRPr="00852F93">
        <w:rPr>
          <w:rFonts w:ascii="Arial" w:hAnsi="Arial" w:cs="Arial"/>
          <w:b/>
          <w:sz w:val="20"/>
          <w:szCs w:val="20"/>
        </w:rPr>
        <w:t xml:space="preserve">. A more thorough evaluation is recommended. </w:t>
      </w:r>
    </w:p>
    <w:p w:rsidR="008B0D27" w:rsidRPr="00557806" w:rsidRDefault="004F3086" w:rsidP="00500C35">
      <w:pPr>
        <w:spacing w:before="100" w:beforeAutospacing="1" w:after="100" w:afterAutospacing="1"/>
        <w:rPr>
          <w:rFonts w:ascii="Arial" w:hAnsi="Arial"/>
          <w:szCs w:val="20"/>
        </w:rPr>
      </w:pPr>
      <w:r w:rsidRPr="004F3086">
        <w:rPr>
          <w:noProof/>
        </w:rPr>
        <w:lastRenderedPageBreak/>
        <w:pict>
          <v:rect id="Rectangle 2" o:spid="_x0000_s1026" style="position:absolute;margin-left:-30.3pt;margin-top:481.25pt;width:574.35pt;height:23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" filled="f" strokecolor="purple" strokeweight="3pt"/>
        </w:pict>
      </w:r>
      <w:r w:rsidR="00E065B8">
        <w:rPr>
          <w:rFonts w:ascii="Arial" w:hAnsi="Arial"/>
          <w:noProof/>
          <w:szCs w:val="20"/>
        </w:rPr>
        <w:drawing>
          <wp:inline distT="0" distB="0" distL="0" distR="0">
            <wp:extent cx="4412409" cy="603929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603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27" w:rsidRDefault="008B0D27">
      <w:pPr>
        <w:rPr>
          <w:rFonts w:ascii="Arial" w:hAnsi="Arial" w:cs="Arial"/>
          <w:b/>
          <w:sz w:val="20"/>
          <w:szCs w:val="20"/>
        </w:rPr>
      </w:pPr>
      <w:r w:rsidRPr="00C6769E">
        <w:rPr>
          <w:rFonts w:ascii="Arial" w:hAnsi="Arial" w:cs="Arial"/>
          <w:b/>
          <w:sz w:val="20"/>
          <w:szCs w:val="20"/>
        </w:rPr>
        <w:t>Assessment of Suicidal Risk/Severity</w:t>
      </w:r>
    </w:p>
    <w:p w:rsidR="008B0D27" w:rsidRPr="004C4707" w:rsidRDefault="008B0D27" w:rsidP="004A1CE2">
      <w:pPr>
        <w:rPr>
          <w:rFonts w:ascii="Arial" w:hAnsi="Arial" w:cs="Arial"/>
          <w:sz w:val="20"/>
          <w:szCs w:val="20"/>
        </w:rPr>
      </w:pPr>
      <w:r w:rsidRPr="004C4707">
        <w:rPr>
          <w:rFonts w:ascii="Arial" w:hAnsi="Arial" w:cs="Arial"/>
          <w:sz w:val="20"/>
          <w:szCs w:val="20"/>
        </w:rPr>
        <w:t>If patient responds positively to question 9 of the PHQ-9 indicating the potential for suicidal actions, here are a set of questions you can use to help determine the severi</w:t>
      </w:r>
      <w:r>
        <w:rPr>
          <w:rFonts w:ascii="Arial" w:hAnsi="Arial" w:cs="Arial"/>
          <w:sz w:val="20"/>
          <w:szCs w:val="20"/>
        </w:rPr>
        <w:t>ty (lethality) of the condition; and need for  immediate hospitalization, expedited referral to behavioral healthcare professional  and/or immediate initiation of anti-depressant medication.</w:t>
      </w:r>
    </w:p>
    <w:p w:rsidR="008B0D27" w:rsidRPr="004C4707" w:rsidRDefault="008B0D27" w:rsidP="00CA51A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C4707">
        <w:rPr>
          <w:rFonts w:ascii="Arial" w:hAnsi="Arial" w:cs="Arial"/>
          <w:sz w:val="20"/>
          <w:szCs w:val="20"/>
        </w:rPr>
        <w:t>1. Have you ever attempted to harm yourself in the past?</w:t>
      </w:r>
      <w:r w:rsidRPr="004C4707">
        <w:rPr>
          <w:rFonts w:ascii="Arial" w:hAnsi="Arial" w:cs="Arial"/>
          <w:sz w:val="20"/>
          <w:szCs w:val="20"/>
        </w:rPr>
        <w:br/>
      </w:r>
      <w:r w:rsidRPr="004C4707">
        <w:rPr>
          <w:rFonts w:ascii="Arial" w:hAnsi="Arial" w:cs="Arial"/>
          <w:sz w:val="20"/>
          <w:szCs w:val="20"/>
        </w:rPr>
        <w:br/>
        <w:t>2. Have you thought about how you might actually hurt yourself?</w:t>
      </w:r>
    </w:p>
    <w:p w:rsidR="008B0D27" w:rsidRDefault="008B0D27" w:rsidP="009F49CA">
      <w:pPr>
        <w:rPr>
          <w:rFonts w:ascii="Arial" w:hAnsi="Arial" w:cs="Arial"/>
          <w:sz w:val="20"/>
          <w:szCs w:val="20"/>
        </w:rPr>
      </w:pPr>
      <w:r w:rsidRPr="004C4707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4C4707">
        <w:rPr>
          <w:rFonts w:ascii="Arial" w:hAnsi="Arial" w:cs="Arial"/>
          <w:sz w:val="20"/>
          <w:szCs w:val="20"/>
        </w:rPr>
        <w:t>There’s</w:t>
      </w:r>
      <w:proofErr w:type="gramEnd"/>
      <w:r w:rsidRPr="004C4707">
        <w:rPr>
          <w:rFonts w:ascii="Arial" w:hAnsi="Arial" w:cs="Arial"/>
          <w:sz w:val="20"/>
          <w:szCs w:val="20"/>
        </w:rPr>
        <w:t xml:space="preserve"> a bi</w:t>
      </w:r>
      <w:smartTag w:uri="urn:schemas-microsoft-com:office:smarttags" w:element="PersonName">
        <w:r w:rsidRPr="004C4707">
          <w:rPr>
            <w:rFonts w:ascii="Arial" w:hAnsi="Arial" w:cs="Arial"/>
            <w:sz w:val="20"/>
            <w:szCs w:val="20"/>
          </w:rPr>
          <w:t>g d</w:t>
        </w:r>
      </w:smartTag>
      <w:r w:rsidRPr="004C4707">
        <w:rPr>
          <w:rFonts w:ascii="Arial" w:hAnsi="Arial" w:cs="Arial"/>
          <w:sz w:val="20"/>
          <w:szCs w:val="20"/>
        </w:rPr>
        <w:t>ifference between having a thought and acting on a</w:t>
      </w:r>
      <w:r>
        <w:rPr>
          <w:rFonts w:ascii="Arial" w:hAnsi="Arial" w:cs="Arial"/>
          <w:sz w:val="20"/>
          <w:szCs w:val="20"/>
        </w:rPr>
        <w:t xml:space="preserve"> </w:t>
      </w:r>
      <w:r w:rsidRPr="004C4707">
        <w:rPr>
          <w:rFonts w:ascii="Arial" w:hAnsi="Arial" w:cs="Arial"/>
          <w:sz w:val="20"/>
          <w:szCs w:val="20"/>
        </w:rPr>
        <w:t>thought</w:t>
      </w:r>
      <w:r w:rsidRPr="004A1C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a scale from 1-5, 1 being unlikely and 5 being most likely; How likely are you to</w:t>
      </w:r>
      <w:r w:rsidRPr="004C4707">
        <w:rPr>
          <w:rFonts w:ascii="Arial" w:hAnsi="Arial" w:cs="Arial"/>
          <w:sz w:val="20"/>
          <w:szCs w:val="20"/>
        </w:rPr>
        <w:t xml:space="preserve"> act on these</w:t>
      </w:r>
      <w:r>
        <w:rPr>
          <w:rFonts w:ascii="Arial" w:hAnsi="Arial" w:cs="Arial"/>
          <w:sz w:val="20"/>
          <w:szCs w:val="20"/>
        </w:rPr>
        <w:t xml:space="preserve"> </w:t>
      </w:r>
      <w:r w:rsidRPr="004C4707">
        <w:rPr>
          <w:rFonts w:ascii="Arial" w:hAnsi="Arial" w:cs="Arial"/>
          <w:sz w:val="20"/>
          <w:szCs w:val="20"/>
        </w:rPr>
        <w:t>thoughts about hurting y</w:t>
      </w:r>
      <w:r>
        <w:rPr>
          <w:rFonts w:ascii="Arial" w:hAnsi="Arial" w:cs="Arial"/>
          <w:sz w:val="20"/>
          <w:szCs w:val="20"/>
        </w:rPr>
        <w:t xml:space="preserve">ourself or ending your life during </w:t>
      </w:r>
      <w:r w:rsidRPr="004C4707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4C4707">
        <w:rPr>
          <w:rFonts w:ascii="Arial" w:hAnsi="Arial" w:cs="Arial"/>
          <w:sz w:val="20"/>
          <w:szCs w:val="20"/>
        </w:rPr>
        <w:t>next month?”</w:t>
      </w:r>
      <w:r w:rsidRPr="004C4707">
        <w:rPr>
          <w:rFonts w:ascii="Arial" w:hAnsi="Arial" w:cs="Arial"/>
          <w:sz w:val="20"/>
          <w:szCs w:val="20"/>
        </w:rPr>
        <w:br/>
      </w:r>
    </w:p>
    <w:p w:rsidR="008B0D27" w:rsidRDefault="008B0D27" w:rsidP="004A1CE2">
      <w:pPr>
        <w:ind w:left="-180" w:right="-101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Is </w:t>
      </w:r>
      <w:r w:rsidRPr="004C4707">
        <w:rPr>
          <w:rFonts w:ascii="Arial" w:hAnsi="Arial" w:cs="Arial"/>
          <w:sz w:val="20"/>
          <w:szCs w:val="20"/>
        </w:rPr>
        <w:t>there anything that would prevent or keep you from harming</w:t>
      </w:r>
      <w:r>
        <w:rPr>
          <w:rFonts w:ascii="Arial" w:hAnsi="Arial" w:cs="Arial"/>
          <w:sz w:val="20"/>
          <w:szCs w:val="20"/>
        </w:rPr>
        <w:t xml:space="preserve"> </w:t>
      </w:r>
      <w:r w:rsidRPr="004C4707">
        <w:rPr>
          <w:rFonts w:ascii="Arial" w:hAnsi="Arial" w:cs="Arial"/>
          <w:sz w:val="20"/>
          <w:szCs w:val="20"/>
        </w:rPr>
        <w:t xml:space="preserve">yourself? </w:t>
      </w:r>
    </w:p>
    <w:p w:rsidR="008B0D27" w:rsidRDefault="008B0D27" w:rsidP="001B4CFE">
      <w:pPr>
        <w:spacing w:before="120"/>
        <w:rPr>
          <w:sz w:val="18"/>
          <w:szCs w:val="18"/>
        </w:rPr>
      </w:pPr>
      <w:r w:rsidRPr="00C6769E">
        <w:rPr>
          <w:rFonts w:ascii="Tahoma" w:hAnsi="Tahoma" w:cs="Tahoma"/>
          <w:sz w:val="18"/>
          <w:szCs w:val="18"/>
        </w:rPr>
        <w:t xml:space="preserve">Adapted from: </w:t>
      </w:r>
      <w:proofErr w:type="spellStart"/>
      <w:r w:rsidRPr="00C6769E">
        <w:rPr>
          <w:rFonts w:ascii="Tahoma" w:hAnsi="Tahoma" w:cs="Tahoma"/>
          <w:sz w:val="18"/>
          <w:szCs w:val="18"/>
        </w:rPr>
        <w:t>Dube</w:t>
      </w:r>
      <w:proofErr w:type="spellEnd"/>
      <w:r w:rsidRPr="00C6769E">
        <w:rPr>
          <w:rFonts w:ascii="Tahoma" w:hAnsi="Tahoma" w:cs="Tahoma"/>
          <w:sz w:val="18"/>
          <w:szCs w:val="18"/>
        </w:rPr>
        <w:t xml:space="preserve"> P, </w:t>
      </w:r>
      <w:proofErr w:type="spellStart"/>
      <w:r w:rsidRPr="00C6769E">
        <w:rPr>
          <w:rFonts w:ascii="Tahoma" w:hAnsi="Tahoma" w:cs="Tahoma"/>
          <w:sz w:val="18"/>
          <w:szCs w:val="18"/>
        </w:rPr>
        <w:t>Kroenke</w:t>
      </w:r>
      <w:proofErr w:type="spellEnd"/>
      <w:r w:rsidRPr="00C6769E">
        <w:rPr>
          <w:rFonts w:ascii="Tahoma" w:hAnsi="Tahoma" w:cs="Tahoma"/>
          <w:sz w:val="18"/>
          <w:szCs w:val="18"/>
        </w:rPr>
        <w:t xml:space="preserve"> K, Bair MJ, Theobald D, Williams LS. The p4 screener: evaluation of a brief</w:t>
      </w:r>
      <w:r w:rsidRPr="00C6769E">
        <w:rPr>
          <w:rFonts w:ascii="Tahoma" w:hAnsi="Tahoma" w:cs="Tahoma"/>
          <w:sz w:val="18"/>
          <w:szCs w:val="18"/>
        </w:rPr>
        <w:br/>
        <w:t xml:space="preserve">measure for assessing potential suicide risk in 2 randomized effectiveness trials of primary care and oncology patients. Prim Care Companion J </w:t>
      </w:r>
      <w:proofErr w:type="spellStart"/>
      <w:r w:rsidRPr="00C6769E">
        <w:rPr>
          <w:rFonts w:ascii="Tahoma" w:hAnsi="Tahoma" w:cs="Tahoma"/>
          <w:sz w:val="18"/>
          <w:szCs w:val="18"/>
        </w:rPr>
        <w:t>Clin</w:t>
      </w:r>
      <w:proofErr w:type="spellEnd"/>
      <w:r w:rsidRPr="00C6769E">
        <w:rPr>
          <w:rFonts w:ascii="Tahoma" w:hAnsi="Tahoma" w:cs="Tahoma"/>
          <w:sz w:val="18"/>
          <w:szCs w:val="18"/>
        </w:rPr>
        <w:t xml:space="preserve"> Psychiatry. 2010;12(6):PCC. 10m00978</w:t>
      </w:r>
      <w:r w:rsidRPr="00C6769E">
        <w:rPr>
          <w:sz w:val="18"/>
          <w:szCs w:val="18"/>
        </w:rPr>
        <w:tab/>
        <w:t xml:space="preserve"> </w:t>
      </w:r>
    </w:p>
    <w:p w:rsidR="00236F86" w:rsidRDefault="00236F86" w:rsidP="001B4CFE">
      <w:pPr>
        <w:spacing w:before="120"/>
        <w:rPr>
          <w:sz w:val="18"/>
          <w:szCs w:val="18"/>
        </w:rPr>
      </w:pPr>
    </w:p>
    <w:p w:rsidR="005D1AC0" w:rsidRDefault="0076479A" w:rsidP="005D1AC0">
      <w:pPr>
        <w:spacing w:after="200"/>
        <w:rPr>
          <w:rStyle w:val="Hyperlink"/>
          <w:rFonts w:ascii="Arial" w:hAnsi="Arial" w:cs="Arial"/>
          <w:sz w:val="20"/>
          <w:szCs w:val="20"/>
        </w:rPr>
      </w:pPr>
      <w:r w:rsidRPr="00852F93">
        <w:rPr>
          <w:rFonts w:ascii="Arial" w:hAnsi="Arial" w:cs="Arial"/>
          <w:b/>
          <w:sz w:val="20"/>
          <w:szCs w:val="20"/>
        </w:rPr>
        <w:t>Additional resources</w:t>
      </w:r>
      <w:r w:rsidR="005D1AC0">
        <w:rPr>
          <w:rFonts w:ascii="Arial" w:hAnsi="Arial" w:cs="Arial"/>
          <w:b/>
          <w:sz w:val="20"/>
          <w:szCs w:val="20"/>
        </w:rPr>
        <w:t>:</w:t>
      </w:r>
      <w:r w:rsidR="005D1AC0" w:rsidRPr="005D1AC0">
        <w:t xml:space="preserve"> </w:t>
      </w:r>
      <w:hyperlink r:id="rId6" w:history="1">
        <w:r w:rsidR="005D1AC0" w:rsidRPr="00852F93">
          <w:rPr>
            <w:rStyle w:val="Hyperlink"/>
            <w:rFonts w:ascii="Arial" w:hAnsi="Arial" w:cs="Arial"/>
            <w:sz w:val="20"/>
            <w:szCs w:val="20"/>
          </w:rPr>
          <w:t>http://www.healthteamworks.org/guidelines/depression.html</w:t>
        </w:r>
      </w:hyperlink>
    </w:p>
    <w:p w:rsidR="0076479A" w:rsidRPr="007F7D71" w:rsidRDefault="005D1AC0" w:rsidP="007F7D71">
      <w:pPr>
        <w:spacing w:after="20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The ACP depression guide</w:t>
      </w:r>
      <w:r w:rsidR="0076479A" w:rsidRPr="00852F93">
        <w:rPr>
          <w:rFonts w:ascii="Arial" w:hAnsi="Arial" w:cs="Arial"/>
          <w:b/>
          <w:sz w:val="20"/>
          <w:szCs w:val="20"/>
        </w:rPr>
        <w:t xml:space="preserve">: </w:t>
      </w:r>
      <w:hyperlink r:id="rId7" w:tooltip="blocked::http://depression.acponline.org/ps/main" w:history="1">
        <w:r w:rsidRPr="00852F93">
          <w:rPr>
            <w:rStyle w:val="Hyperlink"/>
            <w:rFonts w:ascii="Arial" w:hAnsi="Arial" w:cs="Arial"/>
            <w:color w:val="800080"/>
            <w:sz w:val="20"/>
            <w:szCs w:val="20"/>
          </w:rPr>
          <w:t>http://depression.acponline.org/ps/main</w:t>
        </w:r>
      </w:hyperlink>
      <w:r>
        <w:rPr>
          <w:rStyle w:val="Hyperlink"/>
          <w:rFonts w:ascii="Arial" w:hAnsi="Arial" w:cs="Arial"/>
          <w:color w:val="800080"/>
          <w:sz w:val="20"/>
          <w:szCs w:val="20"/>
        </w:rPr>
        <w:t xml:space="preserve">  </w:t>
      </w:r>
    </w:p>
    <w:sectPr w:rsidR="0076479A" w:rsidRPr="007F7D71" w:rsidSect="007F7D71">
      <w:pgSz w:w="12240" w:h="16340"/>
      <w:pgMar w:top="630" w:right="893" w:bottom="576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E2CCE7"/>
    <w:multiLevelType w:val="hybridMultilevel"/>
    <w:tmpl w:val="658838E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E21026"/>
    <w:multiLevelType w:val="hybridMultilevel"/>
    <w:tmpl w:val="8D406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3EB"/>
    <w:multiLevelType w:val="hybridMultilevel"/>
    <w:tmpl w:val="B49C4D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A896A0C"/>
    <w:multiLevelType w:val="hybridMultilevel"/>
    <w:tmpl w:val="6DE2D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445C5"/>
    <w:multiLevelType w:val="hybridMultilevel"/>
    <w:tmpl w:val="A8E0179C"/>
    <w:lvl w:ilvl="0" w:tplc="4FB2CABC">
      <w:start w:val="1"/>
      <w:numFmt w:val="bullet"/>
      <w:lvlText w:val=""/>
      <w:lvlJc w:val="left"/>
      <w:pPr>
        <w:tabs>
          <w:tab w:val="num" w:pos="1008"/>
        </w:tabs>
        <w:ind w:left="86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056D2"/>
    <w:multiLevelType w:val="multilevel"/>
    <w:tmpl w:val="FF7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C7B6E"/>
    <w:multiLevelType w:val="hybridMultilevel"/>
    <w:tmpl w:val="6EEE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45E229"/>
    <w:multiLevelType w:val="hybridMultilevel"/>
    <w:tmpl w:val="35B39FD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36AC279F"/>
    <w:multiLevelType w:val="hybridMultilevel"/>
    <w:tmpl w:val="9274D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A63B49"/>
    <w:multiLevelType w:val="hybridMultilevel"/>
    <w:tmpl w:val="628E7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C64BF0"/>
    <w:multiLevelType w:val="hybridMultilevel"/>
    <w:tmpl w:val="FF786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0405E"/>
    <w:multiLevelType w:val="hybridMultilevel"/>
    <w:tmpl w:val="4EE8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B3146"/>
    <w:multiLevelType w:val="hybridMultilevel"/>
    <w:tmpl w:val="334C6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A201B1"/>
    <w:multiLevelType w:val="hybridMultilevel"/>
    <w:tmpl w:val="02828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E4E24"/>
    <w:rsid w:val="00003ED5"/>
    <w:rsid w:val="00010D50"/>
    <w:rsid w:val="00030D01"/>
    <w:rsid w:val="00041DBD"/>
    <w:rsid w:val="00061D33"/>
    <w:rsid w:val="000722E6"/>
    <w:rsid w:val="000875DA"/>
    <w:rsid w:val="000A57F1"/>
    <w:rsid w:val="000A6B72"/>
    <w:rsid w:val="000C4244"/>
    <w:rsid w:val="000E35E5"/>
    <w:rsid w:val="00110BDA"/>
    <w:rsid w:val="00143F20"/>
    <w:rsid w:val="00144E69"/>
    <w:rsid w:val="001461DE"/>
    <w:rsid w:val="001562B2"/>
    <w:rsid w:val="00160598"/>
    <w:rsid w:val="00164FFB"/>
    <w:rsid w:val="00174FCD"/>
    <w:rsid w:val="001A3A6C"/>
    <w:rsid w:val="001B4CFE"/>
    <w:rsid w:val="001B6C48"/>
    <w:rsid w:val="001B6EE4"/>
    <w:rsid w:val="001D43A0"/>
    <w:rsid w:val="001D5D4A"/>
    <w:rsid w:val="001E3239"/>
    <w:rsid w:val="001F1EE4"/>
    <w:rsid w:val="001F62F3"/>
    <w:rsid w:val="0020222B"/>
    <w:rsid w:val="00234827"/>
    <w:rsid w:val="00236F86"/>
    <w:rsid w:val="0025115F"/>
    <w:rsid w:val="00255C70"/>
    <w:rsid w:val="00260E2F"/>
    <w:rsid w:val="00261725"/>
    <w:rsid w:val="00282896"/>
    <w:rsid w:val="00290962"/>
    <w:rsid w:val="002962D6"/>
    <w:rsid w:val="002B7BF3"/>
    <w:rsid w:val="002E0ECD"/>
    <w:rsid w:val="002E1A15"/>
    <w:rsid w:val="00310574"/>
    <w:rsid w:val="00325CEE"/>
    <w:rsid w:val="00327C26"/>
    <w:rsid w:val="00371451"/>
    <w:rsid w:val="0038038F"/>
    <w:rsid w:val="003A35C4"/>
    <w:rsid w:val="003B2A37"/>
    <w:rsid w:val="003C196F"/>
    <w:rsid w:val="003C4E6D"/>
    <w:rsid w:val="003F3BE1"/>
    <w:rsid w:val="004057B0"/>
    <w:rsid w:val="0041141F"/>
    <w:rsid w:val="00416379"/>
    <w:rsid w:val="00424864"/>
    <w:rsid w:val="004430C4"/>
    <w:rsid w:val="0044633C"/>
    <w:rsid w:val="00447779"/>
    <w:rsid w:val="00447BF8"/>
    <w:rsid w:val="0045678C"/>
    <w:rsid w:val="004617A1"/>
    <w:rsid w:val="00465F4C"/>
    <w:rsid w:val="00475323"/>
    <w:rsid w:val="00486144"/>
    <w:rsid w:val="0049100D"/>
    <w:rsid w:val="004974E5"/>
    <w:rsid w:val="004A1CE2"/>
    <w:rsid w:val="004A578C"/>
    <w:rsid w:val="004C2AD2"/>
    <w:rsid w:val="004C4707"/>
    <w:rsid w:val="004E083D"/>
    <w:rsid w:val="004E2A59"/>
    <w:rsid w:val="004F3086"/>
    <w:rsid w:val="004F7958"/>
    <w:rsid w:val="00500C35"/>
    <w:rsid w:val="00511215"/>
    <w:rsid w:val="00522BD4"/>
    <w:rsid w:val="00525DFD"/>
    <w:rsid w:val="00544E53"/>
    <w:rsid w:val="00545FA8"/>
    <w:rsid w:val="00553704"/>
    <w:rsid w:val="00557806"/>
    <w:rsid w:val="00580769"/>
    <w:rsid w:val="005855F4"/>
    <w:rsid w:val="005A01B1"/>
    <w:rsid w:val="005A16C2"/>
    <w:rsid w:val="005A5EA0"/>
    <w:rsid w:val="005C2C28"/>
    <w:rsid w:val="005C380D"/>
    <w:rsid w:val="005D1AC0"/>
    <w:rsid w:val="005D3E8A"/>
    <w:rsid w:val="0061012B"/>
    <w:rsid w:val="00636F6A"/>
    <w:rsid w:val="00637262"/>
    <w:rsid w:val="00640557"/>
    <w:rsid w:val="00646DBF"/>
    <w:rsid w:val="00652E52"/>
    <w:rsid w:val="00663233"/>
    <w:rsid w:val="006A6B9F"/>
    <w:rsid w:val="006E4E24"/>
    <w:rsid w:val="006F3C92"/>
    <w:rsid w:val="00704CFD"/>
    <w:rsid w:val="00716C0F"/>
    <w:rsid w:val="007223A0"/>
    <w:rsid w:val="00731208"/>
    <w:rsid w:val="0074644B"/>
    <w:rsid w:val="00762B99"/>
    <w:rsid w:val="0076479A"/>
    <w:rsid w:val="00771BA8"/>
    <w:rsid w:val="00775B70"/>
    <w:rsid w:val="00781024"/>
    <w:rsid w:val="00786414"/>
    <w:rsid w:val="00796984"/>
    <w:rsid w:val="00797A02"/>
    <w:rsid w:val="007E03C0"/>
    <w:rsid w:val="007E1937"/>
    <w:rsid w:val="007E5473"/>
    <w:rsid w:val="007F2624"/>
    <w:rsid w:val="007F7D71"/>
    <w:rsid w:val="00806875"/>
    <w:rsid w:val="00806E4A"/>
    <w:rsid w:val="008136B1"/>
    <w:rsid w:val="00841B5F"/>
    <w:rsid w:val="00842DDB"/>
    <w:rsid w:val="00843E47"/>
    <w:rsid w:val="00846F2C"/>
    <w:rsid w:val="00852F93"/>
    <w:rsid w:val="0089122B"/>
    <w:rsid w:val="008A2738"/>
    <w:rsid w:val="008B0D27"/>
    <w:rsid w:val="008C1739"/>
    <w:rsid w:val="008C4869"/>
    <w:rsid w:val="008F0604"/>
    <w:rsid w:val="008F3046"/>
    <w:rsid w:val="008F4FDC"/>
    <w:rsid w:val="008F656F"/>
    <w:rsid w:val="00937796"/>
    <w:rsid w:val="0094206E"/>
    <w:rsid w:val="00967BB9"/>
    <w:rsid w:val="0097346B"/>
    <w:rsid w:val="00975999"/>
    <w:rsid w:val="0099159C"/>
    <w:rsid w:val="009E17CF"/>
    <w:rsid w:val="009F49CA"/>
    <w:rsid w:val="009F6F85"/>
    <w:rsid w:val="00A158C6"/>
    <w:rsid w:val="00A45A86"/>
    <w:rsid w:val="00A7637D"/>
    <w:rsid w:val="00A8740F"/>
    <w:rsid w:val="00AA2815"/>
    <w:rsid w:val="00AB5996"/>
    <w:rsid w:val="00AC7DD2"/>
    <w:rsid w:val="00AD2FDB"/>
    <w:rsid w:val="00AF63B4"/>
    <w:rsid w:val="00B16770"/>
    <w:rsid w:val="00B16E8E"/>
    <w:rsid w:val="00B20469"/>
    <w:rsid w:val="00B33F61"/>
    <w:rsid w:val="00B406F5"/>
    <w:rsid w:val="00B46BED"/>
    <w:rsid w:val="00B46CC2"/>
    <w:rsid w:val="00B46DF5"/>
    <w:rsid w:val="00B63305"/>
    <w:rsid w:val="00B707CD"/>
    <w:rsid w:val="00B743A2"/>
    <w:rsid w:val="00B80392"/>
    <w:rsid w:val="00B81C04"/>
    <w:rsid w:val="00B84997"/>
    <w:rsid w:val="00B906C9"/>
    <w:rsid w:val="00BB704C"/>
    <w:rsid w:val="00BE54DE"/>
    <w:rsid w:val="00BF2A21"/>
    <w:rsid w:val="00C15587"/>
    <w:rsid w:val="00C37422"/>
    <w:rsid w:val="00C42953"/>
    <w:rsid w:val="00C45A2D"/>
    <w:rsid w:val="00C53B24"/>
    <w:rsid w:val="00C62D0A"/>
    <w:rsid w:val="00C66CFC"/>
    <w:rsid w:val="00C6769E"/>
    <w:rsid w:val="00C80CCC"/>
    <w:rsid w:val="00C94E38"/>
    <w:rsid w:val="00CA4A94"/>
    <w:rsid w:val="00CA51A5"/>
    <w:rsid w:val="00CC2EAB"/>
    <w:rsid w:val="00CD12FE"/>
    <w:rsid w:val="00CD5B8B"/>
    <w:rsid w:val="00D051DC"/>
    <w:rsid w:val="00D06538"/>
    <w:rsid w:val="00D22F98"/>
    <w:rsid w:val="00D53E11"/>
    <w:rsid w:val="00D53EB6"/>
    <w:rsid w:val="00D80DB2"/>
    <w:rsid w:val="00DB0C9F"/>
    <w:rsid w:val="00DB248D"/>
    <w:rsid w:val="00DD5C36"/>
    <w:rsid w:val="00DF2C20"/>
    <w:rsid w:val="00E065B8"/>
    <w:rsid w:val="00E1230A"/>
    <w:rsid w:val="00E251C3"/>
    <w:rsid w:val="00E520C7"/>
    <w:rsid w:val="00E56BD9"/>
    <w:rsid w:val="00E71BAD"/>
    <w:rsid w:val="00E776C5"/>
    <w:rsid w:val="00E91534"/>
    <w:rsid w:val="00E935D8"/>
    <w:rsid w:val="00EB4ECB"/>
    <w:rsid w:val="00EC42BD"/>
    <w:rsid w:val="00EC6017"/>
    <w:rsid w:val="00EC6FBE"/>
    <w:rsid w:val="00ED13CF"/>
    <w:rsid w:val="00ED54A3"/>
    <w:rsid w:val="00EE0065"/>
    <w:rsid w:val="00EE0E13"/>
    <w:rsid w:val="00EF7086"/>
    <w:rsid w:val="00F1256E"/>
    <w:rsid w:val="00F37922"/>
    <w:rsid w:val="00F47B83"/>
    <w:rsid w:val="00F53EEF"/>
    <w:rsid w:val="00F63AC2"/>
    <w:rsid w:val="00F83DAB"/>
    <w:rsid w:val="00FA1885"/>
    <w:rsid w:val="00FA4F66"/>
    <w:rsid w:val="00FD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4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B81C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4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248D"/>
    <w:pPr>
      <w:ind w:left="720"/>
      <w:contextualSpacing/>
    </w:pPr>
  </w:style>
  <w:style w:type="character" w:customStyle="1" w:styleId="small">
    <w:name w:val="small"/>
    <w:basedOn w:val="DefaultParagraphFont"/>
    <w:uiPriority w:val="99"/>
    <w:rsid w:val="00030D01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A18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FA1885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0C4244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A1885"/>
    <w:rPr>
      <w:rFonts w:cs="Times New Roman"/>
      <w:lang w:val="en-US" w:eastAsia="en-US" w:bidi="ar-SA"/>
    </w:rPr>
  </w:style>
  <w:style w:type="character" w:styleId="Emphasis">
    <w:name w:val="Emphasis"/>
    <w:basedOn w:val="DefaultParagraphFont"/>
    <w:uiPriority w:val="99"/>
    <w:qFormat/>
    <w:locked/>
    <w:rsid w:val="00762B99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500C35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17C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9E17CF"/>
    <w:rPr>
      <w:rFonts w:cs="Times New Roman"/>
      <w:b/>
      <w:bCs/>
      <w:lang w:val="en-US" w:eastAsia="en-US" w:bidi="ar-SA"/>
    </w:rPr>
  </w:style>
  <w:style w:type="character" w:styleId="Hyperlink">
    <w:name w:val="Hyperlink"/>
    <w:basedOn w:val="DefaultParagraphFont"/>
    <w:uiPriority w:val="99"/>
    <w:rsid w:val="00852F9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4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B81C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4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248D"/>
    <w:pPr>
      <w:ind w:left="720"/>
      <w:contextualSpacing/>
    </w:pPr>
  </w:style>
  <w:style w:type="character" w:customStyle="1" w:styleId="small">
    <w:name w:val="small"/>
    <w:basedOn w:val="DefaultParagraphFont"/>
    <w:uiPriority w:val="99"/>
    <w:rsid w:val="00030D01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A18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FA1885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0C4244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A1885"/>
    <w:rPr>
      <w:rFonts w:cs="Times New Roman"/>
      <w:lang w:val="en-US" w:eastAsia="en-US" w:bidi="ar-SA"/>
    </w:rPr>
  </w:style>
  <w:style w:type="character" w:styleId="Emphasis">
    <w:name w:val="Emphasis"/>
    <w:basedOn w:val="DefaultParagraphFont"/>
    <w:uiPriority w:val="99"/>
    <w:qFormat/>
    <w:locked/>
    <w:rsid w:val="00762B99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500C35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17C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9E17CF"/>
    <w:rPr>
      <w:rFonts w:cs="Times New Roman"/>
      <w:b/>
      <w:bCs/>
      <w:lang w:val="en-US" w:eastAsia="en-US" w:bidi="ar-SA"/>
    </w:rPr>
  </w:style>
  <w:style w:type="character" w:styleId="Hyperlink">
    <w:name w:val="Hyperlink"/>
    <w:basedOn w:val="DefaultParagraphFont"/>
    <w:uiPriority w:val="99"/>
    <w:rsid w:val="00852F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799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59137803">
                  <w:marLeft w:val="67"/>
                  <w:marRight w:val="67"/>
                  <w:marTop w:val="67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3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3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pression.acponline.org/ps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teamworks.org/guidelines/depression.html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4283</Characters>
  <Application>Microsoft Office Word</Application>
  <DocSecurity>0</DocSecurity>
  <Lines>107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Screening for Depression in Adults</vt:lpstr>
    </vt:vector>
  </TitlesOfParts>
  <Company>American College of Physicians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Screening for Depression in Adults</dc:title>
  <dc:creator>Neil Kirschner</dc:creator>
  <cp:lastModifiedBy>Suzanne Goslee</cp:lastModifiedBy>
  <cp:revision>3</cp:revision>
  <cp:lastPrinted>2011-12-16T15:10:00Z</cp:lastPrinted>
  <dcterms:created xsi:type="dcterms:W3CDTF">2012-02-29T14:44:00Z</dcterms:created>
  <dcterms:modified xsi:type="dcterms:W3CDTF">2012-02-29T16:49:00Z</dcterms:modified>
</cp:coreProperties>
</file>