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2B" w:rsidRDefault="003E062B" w:rsidP="002C4B4E">
      <w:pPr>
        <w:rPr>
          <w:b/>
          <w:sz w:val="28"/>
          <w:szCs w:val="28"/>
        </w:rPr>
      </w:pPr>
    </w:p>
    <w:p w:rsidR="002C4B4E" w:rsidRDefault="00D15EB0" w:rsidP="002C4B4E">
      <w:pPr>
        <w:rPr>
          <w:b/>
          <w:sz w:val="28"/>
          <w:szCs w:val="28"/>
        </w:rPr>
      </w:pPr>
      <w:r w:rsidRPr="00D15EB0">
        <w:rPr>
          <w:b/>
          <w:sz w:val="28"/>
          <w:szCs w:val="28"/>
        </w:rPr>
        <w:t>Facilitator</w:t>
      </w:r>
      <w:r w:rsidR="0002702A">
        <w:rPr>
          <w:b/>
          <w:sz w:val="28"/>
          <w:szCs w:val="28"/>
        </w:rPr>
        <w:t>’</w:t>
      </w:r>
      <w:r w:rsidRPr="00D15EB0">
        <w:rPr>
          <w:b/>
          <w:sz w:val="28"/>
          <w:szCs w:val="28"/>
        </w:rPr>
        <w:t>s Guide</w:t>
      </w:r>
    </w:p>
    <w:p w:rsidR="003E062B" w:rsidRDefault="003E062B" w:rsidP="002C4B4E"/>
    <w:p w:rsidR="00D15EB0" w:rsidRPr="00D15EB0" w:rsidRDefault="00D15EB0" w:rsidP="00D15EB0">
      <w:r w:rsidRPr="00D15EB0">
        <w:rPr>
          <w:b/>
        </w:rPr>
        <w:t>Description</w:t>
      </w:r>
      <w:r w:rsidRPr="00D15EB0">
        <w:t xml:space="preserve">: This guide is intended to help the faculty deliver this 60-minute discussion on basic </w:t>
      </w:r>
      <w:r w:rsidR="00536F8E" w:rsidRPr="00D15EB0">
        <w:t xml:space="preserve">concepts </w:t>
      </w:r>
      <w:r w:rsidR="00536F8E">
        <w:t xml:space="preserve">of </w:t>
      </w:r>
      <w:r w:rsidRPr="00D15EB0">
        <w:t xml:space="preserve">biostatistics and their rational application when considering diagnostic tests and </w:t>
      </w:r>
      <w:r w:rsidR="00C5167D">
        <w:t>cancer screening</w:t>
      </w:r>
      <w:r w:rsidRPr="00D15EB0">
        <w:t>.</w:t>
      </w:r>
      <w:r w:rsidR="00203043">
        <w:t xml:space="preserve"> </w:t>
      </w:r>
      <w:r w:rsidRPr="00D15EB0">
        <w:t xml:space="preserve">Residents will have the opportunity to explore the diagnostic approach to </w:t>
      </w:r>
      <w:r w:rsidR="00C5167D">
        <w:t>pulmonary embolism</w:t>
      </w:r>
      <w:r w:rsidRPr="00D15EB0">
        <w:t xml:space="preserve"> </w:t>
      </w:r>
      <w:r w:rsidR="0002702A">
        <w:t xml:space="preserve">(PE) </w:t>
      </w:r>
      <w:r w:rsidRPr="00D15EB0">
        <w:t xml:space="preserve">in several common scenarios and the utility of pursuing </w:t>
      </w:r>
      <w:r w:rsidR="00C5167D">
        <w:t>CTA vs. D-dimer</w:t>
      </w:r>
      <w:r w:rsidRPr="00D15EB0">
        <w:t xml:space="preserve"> </w:t>
      </w:r>
      <w:r w:rsidR="00110945">
        <w:t xml:space="preserve">testing </w:t>
      </w:r>
      <w:r w:rsidRPr="00D15EB0">
        <w:t>bas</w:t>
      </w:r>
      <w:r w:rsidR="0002702A">
        <w:t>ed</w:t>
      </w:r>
      <w:r w:rsidR="008309FD">
        <w:t xml:space="preserve"> o</w:t>
      </w:r>
      <w:r w:rsidR="0002702A">
        <w:t>n</w:t>
      </w:r>
      <w:r w:rsidRPr="00D15EB0">
        <w:t xml:space="preserve"> an individual patient’s pretest probability of </w:t>
      </w:r>
      <w:r w:rsidR="00C5167D">
        <w:t>PE</w:t>
      </w:r>
      <w:r w:rsidRPr="00D15EB0">
        <w:t>.</w:t>
      </w:r>
      <w:r w:rsidR="00203043">
        <w:t xml:space="preserve"> </w:t>
      </w:r>
      <w:r w:rsidRPr="00D15EB0">
        <w:t xml:space="preserve">In the second half of the module, residents will focus on tailoring a </w:t>
      </w:r>
      <w:r w:rsidR="00C5167D">
        <w:t>cancer screening plan</w:t>
      </w:r>
      <w:r w:rsidRPr="00D15EB0">
        <w:t xml:space="preserve"> to an individual patient and understand how </w:t>
      </w:r>
      <w:r w:rsidR="00C5167D">
        <w:t>screening can lead to significant harm</w:t>
      </w:r>
      <w:r w:rsidRPr="00D15EB0">
        <w:t>.</w:t>
      </w:r>
      <w:r w:rsidR="00203043">
        <w:t xml:space="preserve"> </w:t>
      </w:r>
      <w:r w:rsidRPr="00D15EB0">
        <w:t>This is the third in a series of six modules.</w:t>
      </w:r>
    </w:p>
    <w:p w:rsidR="00D15EB0" w:rsidRPr="00D15EB0" w:rsidRDefault="00D15EB0" w:rsidP="00D15EB0"/>
    <w:p w:rsidR="00D15EB0" w:rsidRPr="00D15EB0" w:rsidRDefault="00D15EB0" w:rsidP="00D15EB0">
      <w:r w:rsidRPr="00D15EB0">
        <w:rPr>
          <w:b/>
        </w:rPr>
        <w:t>Learning Objectives</w:t>
      </w:r>
      <w:r w:rsidRPr="00D15EB0">
        <w:t>:</w:t>
      </w:r>
    </w:p>
    <w:p w:rsidR="00C5167D" w:rsidRPr="00C5167D" w:rsidRDefault="00C5167D" w:rsidP="00C5167D">
      <w:pPr>
        <w:pStyle w:val="ListParagraph"/>
      </w:pPr>
      <w:r w:rsidRPr="00C5167D">
        <w:t>•</w:t>
      </w:r>
      <w:r w:rsidR="007463A8">
        <w:t>Identify key</w:t>
      </w:r>
      <w:r w:rsidRPr="00C5167D">
        <w:t xml:space="preserve"> statistical concepts</w:t>
      </w:r>
      <w:r w:rsidR="007463A8">
        <w:t xml:space="preserve"> for high value care</w:t>
      </w:r>
      <w:r w:rsidR="008309FD">
        <w:t>.</w:t>
      </w:r>
    </w:p>
    <w:p w:rsidR="00C5167D" w:rsidRPr="00C5167D" w:rsidRDefault="00C5167D" w:rsidP="00C5167D">
      <w:pPr>
        <w:pStyle w:val="ListParagraph"/>
      </w:pPr>
      <w:r w:rsidRPr="00C5167D">
        <w:t>•</w:t>
      </w:r>
      <w:r w:rsidR="00F25328">
        <w:t>Practice applying these</w:t>
      </w:r>
      <w:r w:rsidRPr="00C5167D">
        <w:t xml:space="preserve"> </w:t>
      </w:r>
      <w:r w:rsidR="00F25328">
        <w:t xml:space="preserve">concepts </w:t>
      </w:r>
      <w:r w:rsidRPr="00C5167D">
        <w:t>to support high value care decisions when considering diagnostic and screening tests</w:t>
      </w:r>
      <w:r w:rsidR="008309FD">
        <w:t>.</w:t>
      </w:r>
    </w:p>
    <w:p w:rsidR="00C5167D" w:rsidRPr="00C5167D" w:rsidRDefault="00C5167D" w:rsidP="00C5167D">
      <w:pPr>
        <w:pStyle w:val="ListParagraph"/>
      </w:pPr>
      <w:r w:rsidRPr="00C5167D">
        <w:t>•Explore the benefits and harms (including cost) of routine screening</w:t>
      </w:r>
      <w:r w:rsidR="008309FD">
        <w:t>.</w:t>
      </w:r>
    </w:p>
    <w:p w:rsidR="00C5167D" w:rsidRPr="00C5167D" w:rsidRDefault="00C5167D" w:rsidP="00C5167D">
      <w:pPr>
        <w:pStyle w:val="ListParagraph"/>
      </w:pPr>
      <w:r w:rsidRPr="00C5167D">
        <w:t>•Develop an approach to customize screening recommendations to an individual patient and his/her unique risk factors, values, and concerns</w:t>
      </w:r>
      <w:r w:rsidR="008309FD">
        <w:t>.</w:t>
      </w:r>
    </w:p>
    <w:p w:rsidR="00D15EB0" w:rsidRPr="00D15EB0" w:rsidRDefault="00D15EB0" w:rsidP="00D15EB0">
      <w:pPr>
        <w:pStyle w:val="ListParagraph"/>
      </w:pPr>
    </w:p>
    <w:p w:rsidR="00D15EB0" w:rsidRPr="00D15EB0" w:rsidRDefault="00D15EB0" w:rsidP="00D15EB0">
      <w:pPr>
        <w:rPr>
          <w:b/>
        </w:rPr>
      </w:pPr>
      <w:r w:rsidRPr="00D15EB0">
        <w:rPr>
          <w:b/>
        </w:rPr>
        <w:t xml:space="preserve">Key </w:t>
      </w:r>
      <w:r w:rsidR="009C3DAE">
        <w:rPr>
          <w:b/>
        </w:rPr>
        <w:t>P</w:t>
      </w:r>
      <w:r w:rsidRPr="00D15EB0">
        <w:rPr>
          <w:b/>
        </w:rPr>
        <w:t xml:space="preserve">oints </w:t>
      </w:r>
      <w:r w:rsidR="009C3DAE">
        <w:rPr>
          <w:b/>
        </w:rPr>
        <w:t>of</w:t>
      </w:r>
      <w:r w:rsidRPr="00D15EB0">
        <w:rPr>
          <w:b/>
        </w:rPr>
        <w:t xml:space="preserve"> the </w:t>
      </w:r>
      <w:r w:rsidR="009C3DAE">
        <w:rPr>
          <w:b/>
        </w:rPr>
        <w:t>S</w:t>
      </w:r>
      <w:r w:rsidRPr="00D15EB0">
        <w:rPr>
          <w:b/>
        </w:rPr>
        <w:t>ession:</w:t>
      </w:r>
    </w:p>
    <w:p w:rsidR="00D15EB0" w:rsidRPr="00D15EB0" w:rsidRDefault="009C3DAE" w:rsidP="00D15EB0">
      <w:pPr>
        <w:pStyle w:val="ListParagraph"/>
        <w:numPr>
          <w:ilvl w:val="0"/>
          <w:numId w:val="4"/>
        </w:numPr>
        <w:ind w:left="720"/>
      </w:pPr>
      <w:r>
        <w:t>Provide r</w:t>
      </w:r>
      <w:r w:rsidR="00D15EB0" w:rsidRPr="00D15EB0">
        <w:t>eassurance that they will not be expected to perform statistical calculations as part of the sessi</w:t>
      </w:r>
      <w:r w:rsidR="00F25328">
        <w:t xml:space="preserve">on, and </w:t>
      </w:r>
      <w:r>
        <w:t xml:space="preserve">convey </w:t>
      </w:r>
      <w:r w:rsidR="00F25328">
        <w:t xml:space="preserve">the importance of </w:t>
      </w:r>
      <w:r w:rsidR="00D15EB0" w:rsidRPr="00D15EB0">
        <w:t>understanding the concepts underlying key statistical measures that are commonly used</w:t>
      </w:r>
      <w:r>
        <w:t>.</w:t>
      </w:r>
    </w:p>
    <w:p w:rsidR="00D15EB0" w:rsidRPr="00D15EB0" w:rsidRDefault="009C3DAE" w:rsidP="00D15EB0">
      <w:pPr>
        <w:pStyle w:val="ListParagraph"/>
        <w:numPr>
          <w:ilvl w:val="0"/>
          <w:numId w:val="4"/>
        </w:numPr>
        <w:ind w:left="720"/>
      </w:pPr>
      <w:r>
        <w:t>F</w:t>
      </w:r>
      <w:r w:rsidR="00D15EB0" w:rsidRPr="00D15EB0">
        <w:t>ocus on the process by which testing and treatment decisions are made and</w:t>
      </w:r>
      <w:r>
        <w:t>,</w:t>
      </w:r>
      <w:r w:rsidR="00D15EB0" w:rsidRPr="00D15EB0">
        <w:t xml:space="preserve"> specifically</w:t>
      </w:r>
      <w:r>
        <w:t>,</w:t>
      </w:r>
      <w:r w:rsidR="00D15EB0" w:rsidRPr="00D15EB0">
        <w:t xml:space="preserve"> how biostatistics aid in understanding the potential effectiveness of different interventions</w:t>
      </w:r>
      <w:r>
        <w:t>.</w:t>
      </w:r>
    </w:p>
    <w:p w:rsidR="00D15EB0" w:rsidRPr="00D15EB0" w:rsidRDefault="009C3DAE" w:rsidP="00D15EB0">
      <w:pPr>
        <w:pStyle w:val="ListParagraph"/>
        <w:numPr>
          <w:ilvl w:val="0"/>
          <w:numId w:val="4"/>
        </w:numPr>
        <w:ind w:left="720"/>
      </w:pPr>
      <w:r>
        <w:t>E</w:t>
      </w:r>
      <w:r w:rsidR="00D15EB0" w:rsidRPr="00D15EB0">
        <w:t>ncourage insight into their own decision making processes</w:t>
      </w:r>
      <w:r>
        <w:t xml:space="preserve"> a</w:t>
      </w:r>
      <w:r w:rsidRPr="00D15EB0">
        <w:t xml:space="preserve">s trainees </w:t>
      </w:r>
      <w:r w:rsidR="00D15EB0" w:rsidRPr="00D15EB0">
        <w:t>and an understanding that individual patients merit different approaches to diagnosis, screening, and treatment</w:t>
      </w:r>
      <w:r>
        <w:t>.</w:t>
      </w:r>
    </w:p>
    <w:p w:rsidR="00D15EB0" w:rsidRPr="00D15EB0" w:rsidRDefault="00D15EB0" w:rsidP="00D15EB0">
      <w:pPr>
        <w:pStyle w:val="ListParagraph"/>
        <w:numPr>
          <w:ilvl w:val="0"/>
          <w:numId w:val="4"/>
        </w:numPr>
        <w:ind w:left="720"/>
      </w:pPr>
      <w:r w:rsidRPr="00D15EB0">
        <w:t xml:space="preserve">Emphasize that biostatistics do not tell us what should be done with any particular patient, but </w:t>
      </w:r>
      <w:r w:rsidR="009C3DAE">
        <w:t xml:space="preserve">rather </w:t>
      </w:r>
      <w:r w:rsidRPr="00D15EB0">
        <w:t>provide us with additional data to know which interventions will likely be of high</w:t>
      </w:r>
      <w:r w:rsidR="009C3DAE">
        <w:t xml:space="preserve"> </w:t>
      </w:r>
      <w:r w:rsidRPr="00D15EB0">
        <w:t>value and cost-effective</w:t>
      </w:r>
      <w:r w:rsidR="009C3DAE">
        <w:t>.</w:t>
      </w:r>
    </w:p>
    <w:p w:rsidR="00D15EB0" w:rsidRPr="00D15EB0" w:rsidRDefault="00D15EB0" w:rsidP="00D15EB0">
      <w:pPr>
        <w:rPr>
          <w:b/>
        </w:rPr>
      </w:pPr>
    </w:p>
    <w:p w:rsidR="00D15EB0" w:rsidRPr="00D15EB0" w:rsidRDefault="00D15EB0" w:rsidP="00D15EB0">
      <w:r w:rsidRPr="00D15EB0">
        <w:rPr>
          <w:b/>
        </w:rPr>
        <w:t xml:space="preserve">Audience and Setting: </w:t>
      </w:r>
      <w:r w:rsidRPr="00D15EB0">
        <w:t>The intended audience for this module is Internal Medicine residents. A large group setting with time and space for small group work within the session is best.</w:t>
      </w:r>
    </w:p>
    <w:p w:rsidR="00D15EB0" w:rsidRPr="00D15EB0" w:rsidRDefault="00D15EB0" w:rsidP="00D15EB0">
      <w:r w:rsidRPr="00D15EB0">
        <w:t xml:space="preserve"> </w:t>
      </w:r>
    </w:p>
    <w:p w:rsidR="00D15EB0" w:rsidRPr="00D15EB0" w:rsidRDefault="00D15EB0" w:rsidP="00D15EB0">
      <w:r w:rsidRPr="00D15EB0">
        <w:rPr>
          <w:b/>
        </w:rPr>
        <w:t>Equipment Required</w:t>
      </w:r>
      <w:r w:rsidRPr="00D15EB0">
        <w:t>: A computer with projector for PowerPoint presentation, a white board or flip chart for recording group work.</w:t>
      </w:r>
    </w:p>
    <w:p w:rsidR="00D15EB0" w:rsidRPr="00D15EB0" w:rsidRDefault="00D15EB0" w:rsidP="00D15EB0"/>
    <w:p w:rsidR="00C5167D" w:rsidRDefault="00D15EB0" w:rsidP="00D15EB0">
      <w:r w:rsidRPr="00D15EB0">
        <w:rPr>
          <w:b/>
        </w:rPr>
        <w:t>Prework:</w:t>
      </w:r>
      <w:r w:rsidR="00203043">
        <w:rPr>
          <w:b/>
        </w:rPr>
        <w:t xml:space="preserve"> </w:t>
      </w:r>
      <w:r w:rsidRPr="00D15EB0">
        <w:t>Print copies of the attached handouts for participants.</w:t>
      </w:r>
      <w:r w:rsidR="00203043">
        <w:t xml:space="preserve"> </w:t>
      </w:r>
      <w:r w:rsidRPr="00D15EB0">
        <w:t xml:space="preserve">For the </w:t>
      </w:r>
      <w:r w:rsidR="00C5167D">
        <w:t>pulmonary embolism</w:t>
      </w:r>
      <w:r w:rsidRPr="00D15EB0">
        <w:t xml:space="preserve"> cases, there are three </w:t>
      </w:r>
      <w:r w:rsidR="00C5167D">
        <w:t>pages of handouts that should be stapled together</w:t>
      </w:r>
      <w:r w:rsidRPr="00D15EB0">
        <w:t>.</w:t>
      </w:r>
      <w:r w:rsidR="00203043">
        <w:t xml:space="preserve"> </w:t>
      </w:r>
      <w:r w:rsidRPr="00D15EB0">
        <w:t>An equal number of each handout should be prepared to create 3 small groups.</w:t>
      </w:r>
      <w:r w:rsidR="00203043">
        <w:t xml:space="preserve"> </w:t>
      </w:r>
      <w:r w:rsidR="00C5167D">
        <w:t xml:space="preserve">For the cancer screening cases, distribute the handout entitled “Table 1” that is at the </w:t>
      </w:r>
      <w:r w:rsidR="009C3DAE">
        <w:t>end</w:t>
      </w:r>
      <w:r w:rsidR="00C5167D">
        <w:t xml:space="preserve"> of this document.</w:t>
      </w:r>
    </w:p>
    <w:p w:rsidR="003E062B" w:rsidRDefault="003E062B" w:rsidP="00D15EB0"/>
    <w:p w:rsidR="003E062B" w:rsidRDefault="003E062B" w:rsidP="00D15EB0"/>
    <w:p w:rsidR="003E062B" w:rsidRDefault="003E062B" w:rsidP="00D15EB0"/>
    <w:p w:rsidR="003E062B" w:rsidRDefault="003E062B" w:rsidP="00D15EB0"/>
    <w:p w:rsidR="003E062B" w:rsidRDefault="003E062B" w:rsidP="00D15EB0"/>
    <w:p w:rsidR="00536F8E" w:rsidRDefault="00536F8E" w:rsidP="00D15EB0"/>
    <w:p w:rsidR="003E062B" w:rsidRDefault="003E062B" w:rsidP="00D15EB0"/>
    <w:p w:rsidR="00C5167D" w:rsidRPr="00C5167D" w:rsidRDefault="00C5167D" w:rsidP="00D15EB0">
      <w:pPr>
        <w:rPr>
          <w:b/>
        </w:rPr>
      </w:pPr>
      <w:r w:rsidRPr="00C5167D">
        <w:rPr>
          <w:b/>
        </w:rPr>
        <w:lastRenderedPageBreak/>
        <w:t xml:space="preserve">Presentation #3 </w:t>
      </w:r>
      <w:r w:rsidR="000D6EB8">
        <w:rPr>
          <w:b/>
        </w:rPr>
        <w:t xml:space="preserve">— </w:t>
      </w:r>
      <w:r w:rsidRPr="00C5167D">
        <w:rPr>
          <w:b/>
        </w:rPr>
        <w:t>Instructions by Slides</w:t>
      </w:r>
    </w:p>
    <w:tbl>
      <w:tblPr>
        <w:tblStyle w:val="TableGrid"/>
        <w:tblW w:w="11700" w:type="dxa"/>
        <w:tblInd w:w="-612" w:type="dxa"/>
        <w:tblLook w:val="00A0" w:firstRow="1" w:lastRow="0" w:firstColumn="1" w:lastColumn="0" w:noHBand="0" w:noVBand="0"/>
      </w:tblPr>
      <w:tblGrid>
        <w:gridCol w:w="630"/>
        <w:gridCol w:w="9935"/>
        <w:gridCol w:w="1135"/>
      </w:tblGrid>
      <w:tr w:rsidR="00C5167D">
        <w:tc>
          <w:tcPr>
            <w:tcW w:w="630" w:type="dxa"/>
          </w:tcPr>
          <w:p w:rsidR="00C5167D" w:rsidRPr="00C5167D" w:rsidRDefault="00C5167D" w:rsidP="00D15EB0">
            <w:pPr>
              <w:rPr>
                <w:b/>
              </w:rPr>
            </w:pPr>
            <w:r w:rsidRPr="00C5167D">
              <w:rPr>
                <w:b/>
              </w:rPr>
              <w:t>Step</w:t>
            </w:r>
          </w:p>
        </w:tc>
        <w:tc>
          <w:tcPr>
            <w:tcW w:w="9935" w:type="dxa"/>
          </w:tcPr>
          <w:p w:rsidR="00C5167D" w:rsidRPr="00C5167D" w:rsidRDefault="00C5167D" w:rsidP="00D15EB0">
            <w:pPr>
              <w:rPr>
                <w:b/>
              </w:rPr>
            </w:pPr>
            <w:r w:rsidRPr="00C5167D">
              <w:rPr>
                <w:b/>
              </w:rPr>
              <w:t>Description</w:t>
            </w:r>
          </w:p>
        </w:tc>
        <w:tc>
          <w:tcPr>
            <w:tcW w:w="1135" w:type="dxa"/>
          </w:tcPr>
          <w:p w:rsidR="00C5167D" w:rsidRPr="00C5167D" w:rsidRDefault="00C5167D" w:rsidP="00D15EB0">
            <w:pPr>
              <w:rPr>
                <w:b/>
              </w:rPr>
            </w:pPr>
            <w:r w:rsidRPr="00C5167D">
              <w:rPr>
                <w:b/>
              </w:rPr>
              <w:t>Estimated Time</w:t>
            </w:r>
          </w:p>
        </w:tc>
      </w:tr>
      <w:tr w:rsidR="00C5167D">
        <w:tc>
          <w:tcPr>
            <w:tcW w:w="630" w:type="dxa"/>
          </w:tcPr>
          <w:p w:rsidR="00C5167D" w:rsidRDefault="00C5167D" w:rsidP="00D15EB0">
            <w:r>
              <w:t>1</w:t>
            </w:r>
          </w:p>
        </w:tc>
        <w:tc>
          <w:tcPr>
            <w:tcW w:w="9935" w:type="dxa"/>
          </w:tcPr>
          <w:p w:rsidR="00C5167D" w:rsidRDefault="00C5167D" w:rsidP="00D15EB0">
            <w:r>
              <w:t xml:space="preserve">Welcome participants, distribute </w:t>
            </w:r>
            <w:r w:rsidR="00C16F32">
              <w:t>handout</w:t>
            </w:r>
            <w:r>
              <w:t xml:space="preserve">s, </w:t>
            </w:r>
            <w:r w:rsidR="000D6EB8">
              <w:t xml:space="preserve">and </w:t>
            </w:r>
            <w:r>
              <w:t>go over learning objectives.</w:t>
            </w:r>
            <w:r w:rsidR="00203043">
              <w:t xml:space="preserve"> </w:t>
            </w:r>
            <w:r>
              <w:t>Be sure to point out that there will be a brief review of biostatistics but that no calculations will be performed.</w:t>
            </w:r>
          </w:p>
          <w:p w:rsidR="001F794F" w:rsidRDefault="001F794F" w:rsidP="00D15EB0"/>
        </w:tc>
        <w:tc>
          <w:tcPr>
            <w:tcW w:w="1135" w:type="dxa"/>
          </w:tcPr>
          <w:p w:rsidR="00C5167D" w:rsidRDefault="00C5167D" w:rsidP="00D15EB0">
            <w:r>
              <w:t>3 minutes</w:t>
            </w:r>
          </w:p>
        </w:tc>
      </w:tr>
      <w:tr w:rsidR="00C5167D">
        <w:trPr>
          <w:trHeight w:val="2393"/>
        </w:trPr>
        <w:tc>
          <w:tcPr>
            <w:tcW w:w="630" w:type="dxa"/>
          </w:tcPr>
          <w:p w:rsidR="00C5167D" w:rsidRDefault="003E062B" w:rsidP="00D15EB0">
            <w:r>
              <w:t>2</w:t>
            </w:r>
          </w:p>
        </w:tc>
        <w:tc>
          <w:tcPr>
            <w:tcW w:w="9935" w:type="dxa"/>
          </w:tcPr>
          <w:p w:rsidR="003E062B" w:rsidRDefault="003E062B" w:rsidP="00D15EB0">
            <w:r w:rsidRPr="003E062B">
              <w:rPr>
                <w:b/>
              </w:rPr>
              <w:t>Slides 3-7:</w:t>
            </w:r>
            <w:r>
              <w:t xml:space="preserve"> Basic review of biostatistical concepts.</w:t>
            </w:r>
            <w:r w:rsidR="00203043">
              <w:t xml:space="preserve"> </w:t>
            </w:r>
            <w:r>
              <w:t xml:space="preserve">On slide 3, briefly go over definitions and transition to </w:t>
            </w:r>
            <w:r w:rsidR="0025030D">
              <w:t xml:space="preserve">the </w:t>
            </w:r>
            <w:r>
              <w:t xml:space="preserve">2x2 table by saying </w:t>
            </w:r>
            <w:r w:rsidR="0025030D">
              <w:t xml:space="preserve">that </w:t>
            </w:r>
            <w:r>
              <w:t>these concepts are often easier to visualize.</w:t>
            </w:r>
            <w:r w:rsidR="00203043">
              <w:t xml:space="preserve"> </w:t>
            </w:r>
            <w:r>
              <w:t>When going over sensitivity and specificity, make sure to explain th</w:t>
            </w:r>
            <w:r w:rsidR="00F25328">
              <w:t>at there is no “free lunch” and</w:t>
            </w:r>
            <w:r>
              <w:t xml:space="preserve"> </w:t>
            </w:r>
            <w:r w:rsidR="0025030D">
              <w:t xml:space="preserve">that </w:t>
            </w:r>
            <w:r>
              <w:t>often we maximize one at the expense of the other.</w:t>
            </w:r>
          </w:p>
          <w:p w:rsidR="003E062B" w:rsidRDefault="003E062B" w:rsidP="003E062B">
            <w:r w:rsidRPr="003E062B">
              <w:rPr>
                <w:b/>
              </w:rPr>
              <w:t>Slide 4:</w:t>
            </w:r>
            <w:r>
              <w:t xml:space="preserve"> Sensitivity.</w:t>
            </w:r>
            <w:r w:rsidR="00203043">
              <w:t xml:space="preserve"> </w:t>
            </w:r>
            <w:r>
              <w:t>Explain that sensitivity deals with people with disease</w:t>
            </w:r>
            <w:r w:rsidR="0025030D">
              <w:t>.</w:t>
            </w:r>
            <w:r>
              <w:t xml:space="preserve"> (“Be Sensitive to those who have disease</w:t>
            </w:r>
            <w:r w:rsidR="0025030D">
              <w:t>.</w:t>
            </w:r>
            <w:r>
              <w:t>”) Explain that v</w:t>
            </w:r>
            <w:r w:rsidRPr="003E062B">
              <w:t xml:space="preserve">ery sensitive tests </w:t>
            </w:r>
            <w:r>
              <w:t xml:space="preserve">are </w:t>
            </w:r>
            <w:r w:rsidRPr="003E062B">
              <w:t xml:space="preserve">required </w:t>
            </w:r>
            <w:r w:rsidR="000B3572">
              <w:t>for</w:t>
            </w:r>
            <w:r w:rsidRPr="003E062B">
              <w:t xml:space="preserve"> situations </w:t>
            </w:r>
            <w:r w:rsidR="000B3572">
              <w:t>in which</w:t>
            </w:r>
            <w:r w:rsidRPr="003E062B">
              <w:t xml:space="preserve"> consequences of </w:t>
            </w:r>
            <w:r w:rsidR="000B3572">
              <w:t xml:space="preserve">a </w:t>
            </w:r>
            <w:r w:rsidRPr="003E062B">
              <w:t>false negative would be very bad (</w:t>
            </w:r>
            <w:r w:rsidR="000B3572">
              <w:t xml:space="preserve">e.g., </w:t>
            </w:r>
            <w:r w:rsidRPr="003E062B">
              <w:t>screening donated blood for HIV)</w:t>
            </w:r>
            <w:r w:rsidR="00F25328">
              <w:t>.</w:t>
            </w:r>
          </w:p>
          <w:p w:rsidR="003E062B" w:rsidRPr="003E062B" w:rsidRDefault="003E062B" w:rsidP="003E062B">
            <w:r w:rsidRPr="003E062B">
              <w:rPr>
                <w:b/>
              </w:rPr>
              <w:t>Slide 5</w:t>
            </w:r>
            <w:r>
              <w:t>: Specificity.</w:t>
            </w:r>
            <w:r w:rsidR="00203043">
              <w:t xml:space="preserve"> </w:t>
            </w:r>
            <w:r>
              <w:t>Explain that specificity deals with people without disease</w:t>
            </w:r>
            <w:r w:rsidR="000B3572">
              <w:t>.</w:t>
            </w:r>
            <w:r>
              <w:t xml:space="preserve"> (“Negative people get specific</w:t>
            </w:r>
            <w:r w:rsidR="000B3572">
              <w:t>.</w:t>
            </w:r>
            <w:r>
              <w:t>”) Very specific tests are n</w:t>
            </w:r>
            <w:r w:rsidRPr="003E062B">
              <w:t xml:space="preserve">eeded </w:t>
            </w:r>
            <w:r w:rsidR="000B3572">
              <w:t>for</w:t>
            </w:r>
            <w:r w:rsidRPr="003E062B">
              <w:t xml:space="preserve"> situations </w:t>
            </w:r>
            <w:r w:rsidR="000B3572">
              <w:t>in which a</w:t>
            </w:r>
            <w:r w:rsidRPr="003E062B">
              <w:t xml:space="preserve"> false positive would be very bad (</w:t>
            </w:r>
            <w:r w:rsidR="000B3572">
              <w:t>e</w:t>
            </w:r>
            <w:r w:rsidRPr="003E062B">
              <w:t>.</w:t>
            </w:r>
            <w:r w:rsidR="000B3572">
              <w:t>g</w:t>
            </w:r>
            <w:r w:rsidRPr="003E062B">
              <w:t>.</w:t>
            </w:r>
            <w:r w:rsidR="000B3572">
              <w:t>,</w:t>
            </w:r>
            <w:r w:rsidRPr="003E062B">
              <w:t xml:space="preserve"> cancer)</w:t>
            </w:r>
            <w:r w:rsidR="00F25328">
              <w:t>.</w:t>
            </w:r>
          </w:p>
          <w:p w:rsidR="00C5167D" w:rsidRDefault="00C5167D" w:rsidP="00D15EB0"/>
        </w:tc>
        <w:tc>
          <w:tcPr>
            <w:tcW w:w="1135" w:type="dxa"/>
          </w:tcPr>
          <w:p w:rsidR="00C5167D" w:rsidRDefault="003E062B" w:rsidP="00D15EB0">
            <w:r>
              <w:t>5 minutes</w:t>
            </w:r>
          </w:p>
        </w:tc>
      </w:tr>
      <w:tr w:rsidR="00C5167D">
        <w:tc>
          <w:tcPr>
            <w:tcW w:w="630" w:type="dxa"/>
          </w:tcPr>
          <w:p w:rsidR="00C5167D" w:rsidRDefault="003E062B" w:rsidP="00D15EB0">
            <w:r>
              <w:t>3</w:t>
            </w:r>
          </w:p>
        </w:tc>
        <w:tc>
          <w:tcPr>
            <w:tcW w:w="9935" w:type="dxa"/>
          </w:tcPr>
          <w:p w:rsidR="004303E1" w:rsidRDefault="003E062B" w:rsidP="00D15EB0">
            <w:r w:rsidRPr="003E062B">
              <w:rPr>
                <w:b/>
              </w:rPr>
              <w:t>Slides 8-12</w:t>
            </w:r>
            <w:r>
              <w:t>: Role of diagnostic testing.</w:t>
            </w:r>
            <w:r w:rsidR="00203043">
              <w:t xml:space="preserve"> </w:t>
            </w:r>
            <w:r>
              <w:t>Transition to diagnostic testing by explaining that whether we realize it or not, we are always using those biostat</w:t>
            </w:r>
            <w:r w:rsidR="00F25328">
              <w:t>i</w:t>
            </w:r>
            <w:r>
              <w:t>s</w:t>
            </w:r>
            <w:r w:rsidR="00F25328">
              <w:t>tical</w:t>
            </w:r>
            <w:r>
              <w:t xml:space="preserve"> concept</w:t>
            </w:r>
            <w:r w:rsidR="00F25328">
              <w:t>s</w:t>
            </w:r>
            <w:r>
              <w:t xml:space="preserve"> when ordering diagnostic testing.</w:t>
            </w:r>
            <w:r w:rsidR="00203043">
              <w:t xml:space="preserve"> </w:t>
            </w:r>
            <w:r>
              <w:t xml:space="preserve">Go over schematic on </w:t>
            </w:r>
            <w:r w:rsidRPr="004303E1">
              <w:rPr>
                <w:b/>
              </w:rPr>
              <w:t>slide 8</w:t>
            </w:r>
            <w:r>
              <w:t xml:space="preserve"> by explaining that we start by creating a pretest probability (usually based o</w:t>
            </w:r>
            <w:r w:rsidR="00F25328">
              <w:t>n</w:t>
            </w:r>
            <w:r>
              <w:t xml:space="preserve"> disease prevalence), </w:t>
            </w:r>
            <w:r w:rsidR="00F25328">
              <w:t>then</w:t>
            </w:r>
            <w:r>
              <w:t xml:space="preserve"> decide on the appropriate diagnostic test </w:t>
            </w:r>
            <w:r w:rsidR="004303E1">
              <w:t>(based on which one maximizes sensitivity and specificity)</w:t>
            </w:r>
            <w:r w:rsidR="000B3572">
              <w:t>,</w:t>
            </w:r>
            <w:r w:rsidR="004303E1">
              <w:t xml:space="preserve"> </w:t>
            </w:r>
            <w:r w:rsidR="000B3572">
              <w:t>which</w:t>
            </w:r>
            <w:r w:rsidR="004303E1">
              <w:t xml:space="preserve"> leads to our posttest probability.</w:t>
            </w:r>
          </w:p>
          <w:p w:rsidR="004303E1" w:rsidRDefault="004303E1" w:rsidP="004303E1">
            <w:r w:rsidRPr="004303E1">
              <w:rPr>
                <w:b/>
              </w:rPr>
              <w:t>Slide 9</w:t>
            </w:r>
            <w:r>
              <w:t xml:space="preserve">: </w:t>
            </w:r>
            <w:r w:rsidRPr="004303E1">
              <w:rPr>
                <w:i/>
              </w:rPr>
              <w:t>For bullet point number two</w:t>
            </w:r>
            <w:r>
              <w:t xml:space="preserve">, emphasize that depending on the risks of </w:t>
            </w:r>
            <w:r w:rsidR="000B3572">
              <w:t>treatment, sometimes when a pre</w:t>
            </w:r>
            <w:r>
              <w:t>test probability is high enough, treatment ca</w:t>
            </w:r>
            <w:r w:rsidR="000B3572">
              <w:t xml:space="preserve">n be initiated without </w:t>
            </w:r>
            <w:r w:rsidR="00F76F13">
              <w:t xml:space="preserve">additional </w:t>
            </w:r>
            <w:r w:rsidR="000B3572">
              <w:t>testing</w:t>
            </w:r>
            <w:r w:rsidR="00F76F13">
              <w:t xml:space="preserve">. </w:t>
            </w:r>
            <w:bookmarkStart w:id="0" w:name="_GoBack"/>
            <w:bookmarkEnd w:id="0"/>
            <w:r>
              <w:t>Also, e</w:t>
            </w:r>
            <w:r w:rsidRPr="004303E1">
              <w:t xml:space="preserve">mphasize that unique pt presentations/symptoms and pt demographics are essential to formulating clinical judgment </w:t>
            </w:r>
            <w:r w:rsidR="00F74014">
              <w:t>about</w:t>
            </w:r>
            <w:r w:rsidRPr="004303E1">
              <w:t xml:space="preserve"> the pretest probability of a specific disease</w:t>
            </w:r>
            <w:r>
              <w:t xml:space="preserve">. </w:t>
            </w:r>
            <w:r w:rsidRPr="004303E1">
              <w:rPr>
                <w:i/>
              </w:rPr>
              <w:t>For bullet point three</w:t>
            </w:r>
            <w:r>
              <w:t>: Testing s</w:t>
            </w:r>
            <w:r w:rsidRPr="004303E1">
              <w:t>hould be applied in a sequential fashion until clinicians reach a “threshold” after which our posttest probability is high enough that we are confident that a patient either has or does not have a disease</w:t>
            </w:r>
            <w:r>
              <w:t>.</w:t>
            </w:r>
          </w:p>
          <w:p w:rsidR="004303E1" w:rsidRDefault="004303E1" w:rsidP="004303E1">
            <w:r w:rsidRPr="004303E1">
              <w:rPr>
                <w:b/>
              </w:rPr>
              <w:t>Slide 10</w:t>
            </w:r>
            <w:r>
              <w:t xml:space="preserve">: Introduce </w:t>
            </w:r>
            <w:r w:rsidR="00D21705">
              <w:t xml:space="preserve">concept of </w:t>
            </w:r>
            <w:r>
              <w:t xml:space="preserve">how to use </w:t>
            </w:r>
            <w:r w:rsidR="00D21705">
              <w:t>l</w:t>
            </w:r>
            <w:r>
              <w:t>ikelihood ratio</w:t>
            </w:r>
            <w:r w:rsidR="00D21705">
              <w:t>s</w:t>
            </w:r>
            <w:r>
              <w:t xml:space="preserve"> </w:t>
            </w:r>
            <w:r w:rsidR="00D21705">
              <w:t xml:space="preserve">(LRs) </w:t>
            </w:r>
            <w:r>
              <w:t xml:space="preserve">and distribute LR </w:t>
            </w:r>
            <w:r w:rsidR="00C16F32">
              <w:t>handout</w:t>
            </w:r>
            <w:r>
              <w:t xml:space="preserve"> to group</w:t>
            </w:r>
            <w:r w:rsidR="00745B33">
              <w:t xml:space="preserve"> (reference for </w:t>
            </w:r>
            <w:r w:rsidR="00D21705">
              <w:t>LRs:</w:t>
            </w:r>
            <w:r w:rsidR="00745B33">
              <w:t xml:space="preserve"> </w:t>
            </w:r>
            <w:r w:rsidR="00745B33" w:rsidRPr="00745B33">
              <w:rPr>
                <w:i/>
              </w:rPr>
              <w:t xml:space="preserve">Evidence Based </w:t>
            </w:r>
            <w:r w:rsidR="00F25328">
              <w:rPr>
                <w:i/>
              </w:rPr>
              <w:t xml:space="preserve">Physical </w:t>
            </w:r>
            <w:r w:rsidR="00745B33" w:rsidRPr="00745B33">
              <w:rPr>
                <w:i/>
              </w:rPr>
              <w:t>Diagnosis</w:t>
            </w:r>
            <w:r w:rsidR="00745B33">
              <w:t xml:space="preserve"> book by McGee)</w:t>
            </w:r>
            <w:r>
              <w:t>.</w:t>
            </w:r>
          </w:p>
          <w:p w:rsidR="004303E1" w:rsidRDefault="004303E1" w:rsidP="004303E1">
            <w:r w:rsidRPr="004303E1">
              <w:rPr>
                <w:b/>
              </w:rPr>
              <w:t>Slide 11</w:t>
            </w:r>
            <w:r>
              <w:t>: Have residents guess what the LR is for common physical exam maneuvers.</w:t>
            </w:r>
          </w:p>
          <w:p w:rsidR="004303E1" w:rsidRPr="004303E1" w:rsidRDefault="004303E1" w:rsidP="004303E1">
            <w:r w:rsidRPr="004303E1">
              <w:rPr>
                <w:b/>
              </w:rPr>
              <w:t>Slide 12</w:t>
            </w:r>
            <w:r>
              <w:t xml:space="preserve">: Diagnostic testing schematic </w:t>
            </w:r>
            <w:r w:rsidR="0041722A">
              <w:t>(</w:t>
            </w:r>
            <w:r>
              <w:t>from slide 8</w:t>
            </w:r>
            <w:r w:rsidR="0041722A">
              <w:t>)</w:t>
            </w:r>
            <w:r>
              <w:t xml:space="preserve"> now incorporates LR.</w:t>
            </w:r>
            <w:r w:rsidR="00203043">
              <w:t xml:space="preserve"> </w:t>
            </w:r>
            <w:r>
              <w:t>Reiterate that you start with a pretest probability, order a diagnostic test based o</w:t>
            </w:r>
            <w:r w:rsidR="0041722A">
              <w:t>n</w:t>
            </w:r>
            <w:r>
              <w:t xml:space="preserve"> sensitivity</w:t>
            </w:r>
            <w:r w:rsidR="0041722A">
              <w:t>/</w:t>
            </w:r>
            <w:r>
              <w:t>specificity (which give</w:t>
            </w:r>
            <w:r w:rsidR="00F25328">
              <w:t>s</w:t>
            </w:r>
            <w:r>
              <w:t xml:space="preserve"> you </w:t>
            </w:r>
            <w:r w:rsidR="0041722A">
              <w:t>the</w:t>
            </w:r>
            <w:r>
              <w:t xml:space="preserve"> </w:t>
            </w:r>
            <w:r w:rsidR="0041722A">
              <w:t>LR</w:t>
            </w:r>
            <w:r>
              <w:t>)</w:t>
            </w:r>
            <w:r w:rsidR="0041722A">
              <w:t>,</w:t>
            </w:r>
            <w:r>
              <w:t xml:space="preserve"> </w:t>
            </w:r>
            <w:r w:rsidR="0041722A">
              <w:t xml:space="preserve">that leads </w:t>
            </w:r>
            <w:r>
              <w:t xml:space="preserve">to </w:t>
            </w:r>
            <w:r w:rsidR="0041722A">
              <w:t xml:space="preserve">the </w:t>
            </w:r>
            <w:r>
              <w:t xml:space="preserve">posttest probability (which equals pretest probability </w:t>
            </w:r>
            <w:r w:rsidR="0041722A">
              <w:t>×</w:t>
            </w:r>
            <w:r>
              <w:t xml:space="preserve"> LR).</w:t>
            </w:r>
          </w:p>
          <w:p w:rsidR="00C5167D" w:rsidRDefault="00C5167D" w:rsidP="00D15EB0"/>
        </w:tc>
        <w:tc>
          <w:tcPr>
            <w:tcW w:w="1135" w:type="dxa"/>
          </w:tcPr>
          <w:p w:rsidR="00C5167D" w:rsidRDefault="0035518F" w:rsidP="00D15EB0">
            <w:r>
              <w:t>5 minutes</w:t>
            </w:r>
          </w:p>
        </w:tc>
      </w:tr>
      <w:tr w:rsidR="00C5167D" w:rsidTr="00F74014">
        <w:trPr>
          <w:trHeight w:val="70"/>
        </w:trPr>
        <w:tc>
          <w:tcPr>
            <w:tcW w:w="630" w:type="dxa"/>
          </w:tcPr>
          <w:p w:rsidR="00C5167D" w:rsidRDefault="0035518F" w:rsidP="00D15EB0">
            <w:r>
              <w:t>4</w:t>
            </w:r>
          </w:p>
        </w:tc>
        <w:tc>
          <w:tcPr>
            <w:tcW w:w="9935" w:type="dxa"/>
          </w:tcPr>
          <w:p w:rsidR="00C5167D" w:rsidRDefault="0035518F" w:rsidP="001F794F">
            <w:r w:rsidRPr="0035518F">
              <w:rPr>
                <w:b/>
              </w:rPr>
              <w:t xml:space="preserve">Pulmonary embolism </w:t>
            </w:r>
            <w:r w:rsidR="00A010E7">
              <w:rPr>
                <w:b/>
              </w:rPr>
              <w:t xml:space="preserve">(PE) </w:t>
            </w:r>
            <w:r w:rsidRPr="0035518F">
              <w:rPr>
                <w:b/>
              </w:rPr>
              <w:t>case</w:t>
            </w:r>
            <w:r w:rsidR="00A010E7">
              <w:rPr>
                <w:b/>
              </w:rPr>
              <w:t>s</w:t>
            </w:r>
            <w:r w:rsidRPr="0035518F">
              <w:rPr>
                <w:b/>
              </w:rPr>
              <w:t xml:space="preserve"> on slide 13 and </w:t>
            </w:r>
            <w:r w:rsidR="00A010E7">
              <w:rPr>
                <w:b/>
              </w:rPr>
              <w:t xml:space="preserve">PE case </w:t>
            </w:r>
            <w:r w:rsidRPr="0035518F">
              <w:rPr>
                <w:b/>
              </w:rPr>
              <w:t>handout</w:t>
            </w:r>
            <w:r>
              <w:t xml:space="preserve">: Distribute </w:t>
            </w:r>
            <w:r w:rsidR="00C16F32">
              <w:t>handout</w:t>
            </w:r>
            <w:r>
              <w:t xml:space="preserve"> for cases, have residents break into 3 groups</w:t>
            </w:r>
            <w:r w:rsidR="00A010E7">
              <w:t>,</w:t>
            </w:r>
            <w:r>
              <w:t xml:space="preserve"> and </w:t>
            </w:r>
            <w:r w:rsidR="001F794F">
              <w:t>assign</w:t>
            </w:r>
            <w:r>
              <w:t xml:space="preserve"> </w:t>
            </w:r>
            <w:r w:rsidR="00A010E7">
              <w:t xml:space="preserve">each group </w:t>
            </w:r>
            <w:r>
              <w:t>one case to work on.</w:t>
            </w:r>
            <w:r w:rsidR="00203043">
              <w:t xml:space="preserve"> </w:t>
            </w:r>
            <w:r>
              <w:t>Have them calculate pretest probability of PE based on Well’s criteria (attached on second page of handout, with pretest probability in far right column).</w:t>
            </w:r>
            <w:r w:rsidR="00203043">
              <w:t xml:space="preserve"> </w:t>
            </w:r>
            <w:r>
              <w:t>Then</w:t>
            </w:r>
            <w:r w:rsidR="00A010E7">
              <w:t>,</w:t>
            </w:r>
            <w:r>
              <w:t xml:space="preserve"> from the pretest probability, have them choose which test to order and calculate LR based o</w:t>
            </w:r>
            <w:r w:rsidR="00A010E7">
              <w:t>n</w:t>
            </w:r>
            <w:r>
              <w:t xml:space="preserve"> that.</w:t>
            </w:r>
            <w:r w:rsidR="00203043">
              <w:t xml:space="preserve"> </w:t>
            </w:r>
            <w:r>
              <w:t xml:space="preserve">For the </w:t>
            </w:r>
            <w:r w:rsidRPr="0035518F">
              <w:rPr>
                <w:b/>
              </w:rPr>
              <w:t>low-prob</w:t>
            </w:r>
            <w:r w:rsidR="00A010E7">
              <w:rPr>
                <w:b/>
              </w:rPr>
              <w:t>ability</w:t>
            </w:r>
            <w:r w:rsidRPr="0035518F">
              <w:rPr>
                <w:b/>
              </w:rPr>
              <w:t xml:space="preserve"> case (case 1),</w:t>
            </w:r>
            <w:r>
              <w:t xml:space="preserve"> discussion should center around whether D-dimer is even necessary or</w:t>
            </w:r>
            <w:r w:rsidR="00A010E7">
              <w:t>,</w:t>
            </w:r>
            <w:r>
              <w:t xml:space="preserve"> if based on history and physical exam, they feel comfortable ruling out PE.</w:t>
            </w:r>
            <w:r w:rsidR="00203043">
              <w:t xml:space="preserve"> </w:t>
            </w:r>
            <w:r w:rsidRPr="0035518F">
              <w:rPr>
                <w:b/>
              </w:rPr>
              <w:t>For moderate</w:t>
            </w:r>
            <w:r w:rsidR="00A010E7">
              <w:rPr>
                <w:b/>
              </w:rPr>
              <w:t>-</w:t>
            </w:r>
            <w:r w:rsidRPr="0035518F">
              <w:rPr>
                <w:b/>
              </w:rPr>
              <w:t xml:space="preserve">probability case (case 3), </w:t>
            </w:r>
            <w:r>
              <w:t>have resi</w:t>
            </w:r>
            <w:r w:rsidR="00F25328">
              <w:t>dents look at how posttest pro</w:t>
            </w:r>
            <w:r w:rsidR="001F794F">
              <w:t>b</w:t>
            </w:r>
            <w:r>
              <w:t>ability would change if they ordered a CTA (right choice in this case) or D-dimer</w:t>
            </w:r>
            <w:r w:rsidR="00A010E7">
              <w:t xml:space="preserve"> testing</w:t>
            </w:r>
            <w:r>
              <w:t>.</w:t>
            </w:r>
            <w:r w:rsidR="00203043">
              <w:t xml:space="preserve"> </w:t>
            </w:r>
            <w:r w:rsidRPr="0035518F">
              <w:rPr>
                <w:b/>
              </w:rPr>
              <w:t>For high</w:t>
            </w:r>
            <w:r w:rsidR="00A010E7">
              <w:rPr>
                <w:b/>
              </w:rPr>
              <w:t>-</w:t>
            </w:r>
            <w:r w:rsidRPr="0035518F">
              <w:rPr>
                <w:b/>
              </w:rPr>
              <w:t>probability case (case 3),</w:t>
            </w:r>
            <w:r>
              <w:t xml:space="preserve"> discussion should center around whether CTA is even needed or if treatment can be initiated without it </w:t>
            </w:r>
            <w:r w:rsidR="00A010E7">
              <w:t xml:space="preserve">on the </w:t>
            </w:r>
            <w:r>
              <w:t>bas</w:t>
            </w:r>
            <w:r w:rsidR="00A010E7">
              <w:t>is</w:t>
            </w:r>
            <w:r>
              <w:t xml:space="preserve"> o</w:t>
            </w:r>
            <w:r w:rsidR="00A010E7">
              <w:t>f</w:t>
            </w:r>
            <w:r>
              <w:t xml:space="preserve"> high pretest probability (especially given fact that it will be hard to get CTA </w:t>
            </w:r>
            <w:r w:rsidR="00A010E7">
              <w:t>because of the</w:t>
            </w:r>
            <w:r>
              <w:t xml:space="preserve"> patient’s obesity).</w:t>
            </w:r>
          </w:p>
          <w:p w:rsidR="001F794F" w:rsidRDefault="001F794F" w:rsidP="001F794F"/>
        </w:tc>
        <w:tc>
          <w:tcPr>
            <w:tcW w:w="1135" w:type="dxa"/>
          </w:tcPr>
          <w:p w:rsidR="00C5167D" w:rsidRDefault="0035518F" w:rsidP="00D15EB0">
            <w:r>
              <w:t>15 minutes</w:t>
            </w:r>
          </w:p>
        </w:tc>
      </w:tr>
      <w:tr w:rsidR="00C5167D">
        <w:tc>
          <w:tcPr>
            <w:tcW w:w="630" w:type="dxa"/>
          </w:tcPr>
          <w:p w:rsidR="00C5167D" w:rsidRDefault="0035518F" w:rsidP="00D15EB0">
            <w:r>
              <w:t>5</w:t>
            </w:r>
          </w:p>
        </w:tc>
        <w:tc>
          <w:tcPr>
            <w:tcW w:w="9935" w:type="dxa"/>
          </w:tcPr>
          <w:p w:rsidR="00E531BE" w:rsidRPr="00E531BE" w:rsidRDefault="00E50803" w:rsidP="00E531BE">
            <w:r w:rsidRPr="00E50803">
              <w:rPr>
                <w:b/>
              </w:rPr>
              <w:t>Slides 14-17</w:t>
            </w:r>
            <w:r>
              <w:rPr>
                <w:b/>
              </w:rPr>
              <w:t>:</w:t>
            </w:r>
            <w:r w:rsidR="00203043">
              <w:rPr>
                <w:b/>
              </w:rPr>
              <w:t xml:space="preserve"> </w:t>
            </w:r>
            <w:r>
              <w:t xml:space="preserve">After case, transition to screening by saying that the same </w:t>
            </w:r>
            <w:r w:rsidR="00C3756F">
              <w:t>type</w:t>
            </w:r>
            <w:r>
              <w:t xml:space="preserve"> of statistical concepts apply to cancer screening.</w:t>
            </w:r>
            <w:r w:rsidR="00203043">
              <w:t xml:space="preserve"> </w:t>
            </w:r>
            <w:r>
              <w:t xml:space="preserve">For </w:t>
            </w:r>
            <w:r w:rsidRPr="00E531BE">
              <w:rPr>
                <w:b/>
              </w:rPr>
              <w:t>slide 14</w:t>
            </w:r>
            <w:r>
              <w:t>, go over ideal characteristics for screening test</w:t>
            </w:r>
            <w:r w:rsidR="00C3756F">
              <w:t>s</w:t>
            </w:r>
            <w:r>
              <w:t>.</w:t>
            </w:r>
            <w:r w:rsidR="00E531BE">
              <w:t xml:space="preserve"> </w:t>
            </w:r>
            <w:r w:rsidR="00E531BE" w:rsidRPr="00E531BE">
              <w:rPr>
                <w:b/>
              </w:rPr>
              <w:t>Slide 15</w:t>
            </w:r>
            <w:r w:rsidR="00E531BE">
              <w:rPr>
                <w:b/>
              </w:rPr>
              <w:t xml:space="preserve"> and 16: </w:t>
            </w:r>
            <w:r w:rsidR="00E531BE">
              <w:t xml:space="preserve">Harms </w:t>
            </w:r>
            <w:r w:rsidR="00E531BE">
              <w:lastRenderedPageBreak/>
              <w:t>associated with screening</w:t>
            </w:r>
            <w:r w:rsidR="00C3756F">
              <w:t>:</w:t>
            </w:r>
            <w:r w:rsidR="00E531BE">
              <w:t xml:space="preserve"> Explain that screening is like any other test or treatment in that it has harms associated with it.</w:t>
            </w:r>
            <w:r w:rsidR="00203043">
              <w:t xml:space="preserve"> </w:t>
            </w:r>
            <w:r w:rsidR="00E531BE">
              <w:t xml:space="preserve">For </w:t>
            </w:r>
            <w:r w:rsidR="00E531BE" w:rsidRPr="00E531BE">
              <w:rPr>
                <w:i/>
              </w:rPr>
              <w:t>false positives</w:t>
            </w:r>
            <w:r w:rsidR="001F794F">
              <w:t xml:space="preserve">, explain that </w:t>
            </w:r>
            <w:r w:rsidR="00E531BE">
              <w:t>by maximizing sensitivity at th</w:t>
            </w:r>
            <w:r w:rsidR="00C3756F">
              <w:t>e cost of specificity (again re</w:t>
            </w:r>
            <w:r w:rsidR="00E531BE">
              <w:t>iterate there is no free lunch), false positives occur</w:t>
            </w:r>
            <w:r w:rsidR="00C3756F">
              <w:t>,</w:t>
            </w:r>
            <w:r w:rsidR="00E531BE">
              <w:t xml:space="preserve"> which then in turn lead to increased anxiety, costs, and potential harms from follow</w:t>
            </w:r>
            <w:r w:rsidR="00C3756F">
              <w:t>-</w:t>
            </w:r>
            <w:r w:rsidR="00E531BE">
              <w:t>up testing.</w:t>
            </w:r>
            <w:r w:rsidR="00203043">
              <w:t xml:space="preserve"> </w:t>
            </w:r>
            <w:r w:rsidR="00E531BE">
              <w:t xml:space="preserve">For </w:t>
            </w:r>
            <w:r w:rsidR="00E531BE" w:rsidRPr="00E531BE">
              <w:rPr>
                <w:i/>
              </w:rPr>
              <w:t>lead-time bias</w:t>
            </w:r>
            <w:r w:rsidR="00E531BE">
              <w:t>, explain that s</w:t>
            </w:r>
            <w:r w:rsidR="00E531BE" w:rsidRPr="00E531BE">
              <w:t>urvival</w:t>
            </w:r>
            <w:r w:rsidR="00E531BE">
              <w:t xml:space="preserve"> time is</w:t>
            </w:r>
            <w:r w:rsidR="00E531BE" w:rsidRPr="00E531BE">
              <w:t xml:space="preserve"> determined by time from diagnosis to death.</w:t>
            </w:r>
            <w:r w:rsidR="00203043">
              <w:t xml:space="preserve"> </w:t>
            </w:r>
            <w:r w:rsidR="00E531BE" w:rsidRPr="00E531BE">
              <w:t>With screening, survival time</w:t>
            </w:r>
            <w:r w:rsidR="00C3756F">
              <w:t xml:space="preserve"> can increase</w:t>
            </w:r>
            <w:r w:rsidR="00E531BE" w:rsidRPr="00E531BE">
              <w:t xml:space="preserve">, even though patient ends up dying at the exact same time </w:t>
            </w:r>
            <w:r w:rsidR="00C3756F">
              <w:t>he/she</w:t>
            </w:r>
            <w:r w:rsidR="001F794F">
              <w:t xml:space="preserve"> would have without the test.</w:t>
            </w:r>
            <w:r w:rsidR="00203043">
              <w:t xml:space="preserve"> </w:t>
            </w:r>
            <w:r w:rsidR="001F794F">
              <w:t>It s</w:t>
            </w:r>
            <w:r w:rsidR="00E531BE" w:rsidRPr="00E531BE">
              <w:t xml:space="preserve">eems </w:t>
            </w:r>
            <w:r w:rsidR="00C3756F">
              <w:t>that</w:t>
            </w:r>
            <w:r w:rsidR="00E531BE" w:rsidRPr="00E531BE">
              <w:t xml:space="preserve"> they lived longer, but actually </w:t>
            </w:r>
            <w:r w:rsidR="001F794F">
              <w:t xml:space="preserve">they </w:t>
            </w:r>
            <w:r w:rsidR="00E531BE" w:rsidRPr="00E531BE">
              <w:t>just knew about disease longe</w:t>
            </w:r>
            <w:r w:rsidR="00E531BE">
              <w:t>r.</w:t>
            </w:r>
            <w:r w:rsidR="00203043">
              <w:t xml:space="preserve"> </w:t>
            </w:r>
            <w:r w:rsidR="00E531BE">
              <w:t>For length</w:t>
            </w:r>
            <w:r w:rsidR="00C3756F">
              <w:t>-</w:t>
            </w:r>
            <w:r w:rsidR="00E531BE">
              <w:t>time bias, discuss overdiagnosis and pseudodisease.</w:t>
            </w:r>
            <w:r w:rsidR="00203043">
              <w:t xml:space="preserve"> </w:t>
            </w:r>
            <w:r w:rsidR="00E531BE">
              <w:t xml:space="preserve">Start by asking: </w:t>
            </w:r>
            <w:r w:rsidR="00E531BE" w:rsidRPr="00E531BE">
              <w:t xml:space="preserve">Will finding a disease help the patient? Some diseases are </w:t>
            </w:r>
            <w:r w:rsidR="00C3756F">
              <w:t>very</w:t>
            </w:r>
            <w:r w:rsidR="00E531BE" w:rsidRPr="00E531BE">
              <w:t xml:space="preserve"> slow growing, or may even regress. Therefore</w:t>
            </w:r>
            <w:r w:rsidR="00C3756F">
              <w:t>,</w:t>
            </w:r>
            <w:r w:rsidR="00E531BE" w:rsidRPr="00E531BE">
              <w:t xml:space="preserve"> they may not cause any trouble and in fact may not be a “disease” at all.</w:t>
            </w:r>
            <w:r w:rsidR="00203043">
              <w:t xml:space="preserve"> </w:t>
            </w:r>
            <w:r w:rsidR="00E531BE">
              <w:t>Psuedodisease:</w:t>
            </w:r>
            <w:r w:rsidR="00E531BE" w:rsidRPr="00E531BE">
              <w:t xml:space="preserve"> How do we know which ones will be invasive, and which will not be a problem?</w:t>
            </w:r>
            <w:r w:rsidR="00203043">
              <w:t xml:space="preserve"> </w:t>
            </w:r>
            <w:r w:rsidR="00E531BE" w:rsidRPr="00E531BE">
              <w:t>By nature, screening tests tend to pick up cancers that are more indolent and have better prognos</w:t>
            </w:r>
            <w:r w:rsidR="00C3756F">
              <w:t>e</w:t>
            </w:r>
            <w:r w:rsidR="00E531BE" w:rsidRPr="00E531BE">
              <w:t>s</w:t>
            </w:r>
            <w:r w:rsidR="00C3756F">
              <w:t>: D</w:t>
            </w:r>
            <w:r w:rsidR="00E531BE">
              <w:t xml:space="preserve">iscuss graphic </w:t>
            </w:r>
            <w:r w:rsidR="00C3756F">
              <w:t>that shows</w:t>
            </w:r>
            <w:r w:rsidR="00E531BE">
              <w:t xml:space="preserve"> screening picking up 100% of the slowly progressive disease and only 50% of the rapidly progressive disease.</w:t>
            </w:r>
          </w:p>
          <w:p w:rsidR="00E531BE" w:rsidRDefault="00E531BE" w:rsidP="00E531BE"/>
          <w:p w:rsidR="00E531BE" w:rsidRPr="00E531BE" w:rsidRDefault="00E531BE" w:rsidP="00E531BE">
            <w:r>
              <w:t>Facts to incorporate:</w:t>
            </w:r>
          </w:p>
          <w:p w:rsidR="00E531BE" w:rsidRPr="00E531BE" w:rsidRDefault="00E531BE" w:rsidP="00E531BE">
            <w:r w:rsidRPr="00E531BE">
              <w:t>Prostate cancer—Risk tha</w:t>
            </w:r>
            <w:r w:rsidR="00C3756F">
              <w:t>t cancer</w:t>
            </w:r>
            <w:r w:rsidR="007A35C2">
              <w:t>s</w:t>
            </w:r>
            <w:r w:rsidR="00C3756F">
              <w:t xml:space="preserve"> detected by prostate-</w:t>
            </w:r>
            <w:r w:rsidRPr="00E531BE">
              <w:t xml:space="preserve">specific antigen testing </w:t>
            </w:r>
            <w:r w:rsidR="007A35C2">
              <w:t>are</w:t>
            </w:r>
            <w:r w:rsidRPr="00E531BE">
              <w:t xml:space="preserve"> overdiagnosed may be over 60%</w:t>
            </w:r>
            <w:r w:rsidR="001F794F">
              <w:t>.</w:t>
            </w:r>
          </w:p>
          <w:p w:rsidR="00E531BE" w:rsidRDefault="00E531BE" w:rsidP="00E531BE">
            <w:r w:rsidRPr="00E531BE">
              <w:t xml:space="preserve">Mammography may lead to </w:t>
            </w:r>
            <w:r>
              <w:t>overdiagnosis in 1 in 3 women.</w:t>
            </w:r>
          </w:p>
          <w:p w:rsidR="00E531BE" w:rsidRDefault="00E531BE" w:rsidP="00E531BE">
            <w:r>
              <w:t>In general, good screening test</w:t>
            </w:r>
            <w:r w:rsidR="001F794F">
              <w:t>s</w:t>
            </w:r>
            <w:r>
              <w:t xml:space="preserve"> should show </w:t>
            </w:r>
            <w:r w:rsidR="007A35C2">
              <w:t xml:space="preserve">a </w:t>
            </w:r>
            <w:r>
              <w:t>decrease</w:t>
            </w:r>
            <w:r w:rsidR="007A35C2">
              <w:t>d</w:t>
            </w:r>
            <w:r>
              <w:t xml:space="preserve"> mortality rate, not just </w:t>
            </w:r>
            <w:r w:rsidR="007A35C2">
              <w:t xml:space="preserve">an </w:t>
            </w:r>
            <w:r>
              <w:t>increase</w:t>
            </w:r>
            <w:r w:rsidR="007A35C2">
              <w:t>d</w:t>
            </w:r>
            <w:r>
              <w:t xml:space="preserve"> survival time.</w:t>
            </w:r>
          </w:p>
          <w:p w:rsidR="00E531BE" w:rsidRDefault="00E531BE" w:rsidP="00E531BE"/>
          <w:p w:rsidR="00C5167D" w:rsidRDefault="00E531BE" w:rsidP="00E531BE">
            <w:r w:rsidRPr="00E531BE">
              <w:rPr>
                <w:b/>
              </w:rPr>
              <w:t>Slide 17</w:t>
            </w:r>
            <w:r>
              <w:t xml:space="preserve">: Screening cascade graphic that shows </w:t>
            </w:r>
            <w:r w:rsidR="001A1139">
              <w:t>concept</w:t>
            </w:r>
            <w:r>
              <w:t>s just discussed.</w:t>
            </w:r>
            <w:r w:rsidR="00203043">
              <w:t xml:space="preserve"> </w:t>
            </w:r>
            <w:r>
              <w:t>Point out that when a positive test occurs, benefit is derived when earlier treatment works better.</w:t>
            </w:r>
            <w:r w:rsidR="00203043">
              <w:t xml:space="preserve"> </w:t>
            </w:r>
            <w:r>
              <w:t>Then point out the different situations in which harm occurs.</w:t>
            </w:r>
          </w:p>
          <w:p w:rsidR="001F794F" w:rsidRPr="00E531BE" w:rsidRDefault="001F794F" w:rsidP="00E531BE"/>
        </w:tc>
        <w:tc>
          <w:tcPr>
            <w:tcW w:w="1135" w:type="dxa"/>
          </w:tcPr>
          <w:p w:rsidR="00C5167D" w:rsidRDefault="00E531BE" w:rsidP="00D15EB0">
            <w:r>
              <w:lastRenderedPageBreak/>
              <w:t>10 minutes</w:t>
            </w:r>
          </w:p>
        </w:tc>
      </w:tr>
      <w:tr w:rsidR="00C5167D">
        <w:tc>
          <w:tcPr>
            <w:tcW w:w="630" w:type="dxa"/>
          </w:tcPr>
          <w:p w:rsidR="00C5167D" w:rsidRDefault="00E531BE" w:rsidP="00D15EB0">
            <w:r>
              <w:lastRenderedPageBreak/>
              <w:t>6</w:t>
            </w:r>
          </w:p>
        </w:tc>
        <w:tc>
          <w:tcPr>
            <w:tcW w:w="9935" w:type="dxa"/>
          </w:tcPr>
          <w:p w:rsidR="00745B33" w:rsidRPr="00745B33" w:rsidRDefault="00E531BE" w:rsidP="00745B33">
            <w:pPr>
              <w:rPr>
                <w:b/>
              </w:rPr>
            </w:pPr>
            <w:r w:rsidRPr="00745B33">
              <w:rPr>
                <w:b/>
              </w:rPr>
              <w:t>Slide 18</w:t>
            </w:r>
            <w:r>
              <w:t>: Screening Value Framework</w:t>
            </w:r>
            <w:r w:rsidR="00745B33">
              <w:t xml:space="preserve"> from ACP paper on high value screening (reference </w:t>
            </w:r>
            <w:r w:rsidR="001F794F">
              <w:t>3</w:t>
            </w:r>
            <w:r w:rsidR="00745B33">
              <w:t>)</w:t>
            </w:r>
            <w:r>
              <w:t>.</w:t>
            </w:r>
            <w:r w:rsidR="00203043">
              <w:t xml:space="preserve"> </w:t>
            </w:r>
            <w:r w:rsidR="00745B33">
              <w:t>“</w:t>
            </w:r>
            <w:r w:rsidR="00745B33" w:rsidRPr="00745B33">
              <w:t>The value of cancer screening strategies is linked to screening intensity</w:t>
            </w:r>
            <w:r w:rsidR="00745B33">
              <w:t xml:space="preserve"> </w:t>
            </w:r>
            <w:r w:rsidR="00745B33" w:rsidRPr="00745B33">
              <w:t>(population screened, frequency, and sensitivity of test used) and</w:t>
            </w:r>
            <w:r w:rsidR="00745B33">
              <w:t xml:space="preserve"> </w:t>
            </w:r>
            <w:r w:rsidR="00745B33" w:rsidRPr="00745B33">
              <w:t>is determined by the balance among benefits (e.g., cancer mortality</w:t>
            </w:r>
            <w:r w:rsidR="00745B33">
              <w:t xml:space="preserve"> r</w:t>
            </w:r>
            <w:r w:rsidR="00745B33" w:rsidRPr="00745B33">
              <w:t>eduction), harms (e.g., anxiety from false-positive test results, harms</w:t>
            </w:r>
            <w:r w:rsidR="00745B33">
              <w:t xml:space="preserve"> </w:t>
            </w:r>
            <w:r w:rsidR="00745B33" w:rsidRPr="00745B33">
              <w:t>of diagnostic procedures, labeling, and overdiagnosis leading to overtreatment),</w:t>
            </w:r>
            <w:r w:rsidR="00745B33">
              <w:t xml:space="preserve"> </w:t>
            </w:r>
            <w:r w:rsidR="00745B33" w:rsidRPr="00745B33">
              <w:t xml:space="preserve">and costs. </w:t>
            </w:r>
            <w:r w:rsidR="00745B33" w:rsidRPr="00745B33">
              <w:rPr>
                <w:b/>
              </w:rPr>
              <w:t>Low-value care can result from either low benefits</w:t>
            </w:r>
          </w:p>
          <w:p w:rsidR="00745B33" w:rsidRPr="00745B33" w:rsidRDefault="00745B33" w:rsidP="00745B33">
            <w:pPr>
              <w:rPr>
                <w:b/>
                <w:bCs/>
              </w:rPr>
            </w:pPr>
            <w:r w:rsidRPr="00745B33">
              <w:rPr>
                <w:b/>
              </w:rPr>
              <w:t xml:space="preserve">or high harms and costs. Low-intensity strategies are initially low </w:t>
            </w:r>
            <w:r w:rsidR="00B83D03">
              <w:rPr>
                <w:b/>
              </w:rPr>
              <w:t xml:space="preserve">because of </w:t>
            </w:r>
            <w:r w:rsidRPr="00745B33">
              <w:rPr>
                <w:b/>
              </w:rPr>
              <w:t>low benefits (</w:t>
            </w:r>
            <w:r w:rsidRPr="00745B33">
              <w:rPr>
                <w:b/>
                <w:i/>
                <w:iCs/>
              </w:rPr>
              <w:t>left)</w:t>
            </w:r>
            <w:r w:rsidRPr="00745B33">
              <w:rPr>
                <w:i/>
                <w:iCs/>
              </w:rPr>
              <w:t xml:space="preserve">. </w:t>
            </w:r>
            <w:r w:rsidRPr="00745B33">
              <w:rPr>
                <w:b/>
                <w:i/>
                <w:iCs/>
              </w:rPr>
              <w:t>As intensity increases, benefits</w:t>
            </w:r>
            <w:r w:rsidRPr="00745B33">
              <w:rPr>
                <w:b/>
              </w:rPr>
              <w:t xml:space="preserve"> increase rapidly with acceptable levels of harms and costs, and value follows an upward trend</w:t>
            </w:r>
            <w:r w:rsidRPr="00745B33">
              <w:t>. Screening strategies provide optimal value</w:t>
            </w:r>
            <w:r>
              <w:t xml:space="preserve"> </w:t>
            </w:r>
            <w:r w:rsidRPr="00745B33">
              <w:t>when the informed patient or public believes that the balance between</w:t>
            </w:r>
            <w:r w:rsidR="001F794F">
              <w:t xml:space="preserve"> </w:t>
            </w:r>
            <w:r w:rsidRPr="00745B33">
              <w:t>benefits and harms or costs is optimal (</w:t>
            </w:r>
            <w:r w:rsidRPr="00745B33">
              <w:rPr>
                <w:i/>
                <w:iCs/>
              </w:rPr>
              <w:t xml:space="preserve">middle). </w:t>
            </w:r>
            <w:r w:rsidRPr="00B83D03">
              <w:rPr>
                <w:iCs/>
              </w:rPr>
              <w:t xml:space="preserve">The </w:t>
            </w:r>
            <w:r w:rsidRPr="00B83D03">
              <w:rPr>
                <w:i/>
                <w:iCs/>
              </w:rPr>
              <w:t>top</w:t>
            </w:r>
            <w:r w:rsidRPr="00B83D03">
              <w:rPr>
                <w:iCs/>
              </w:rPr>
              <w:t xml:space="preserve"> of the</w:t>
            </w:r>
            <w:r w:rsidRPr="00B83D03">
              <w:t xml:space="preserve"> value curve</w:t>
            </w:r>
            <w:r w:rsidRPr="00745B33">
              <w:t xml:space="preserve"> is flat because different patients or groups may view different</w:t>
            </w:r>
            <w:r>
              <w:t xml:space="preserve"> i</w:t>
            </w:r>
            <w:r w:rsidRPr="00745B33">
              <w:t xml:space="preserve">ntensities as providing the best balance. </w:t>
            </w:r>
            <w:r w:rsidRPr="00745B33">
              <w:rPr>
                <w:b/>
              </w:rPr>
              <w:t>Further increases in screening intensity beyond the optimal level lead to slower increases in benefits, with disproportionately rapid increases in harms and costs.</w:t>
            </w:r>
            <w:r w:rsidR="00203043">
              <w:rPr>
                <w:b/>
              </w:rPr>
              <w:t xml:space="preserve"> </w:t>
            </w:r>
            <w:r w:rsidRPr="00745B33">
              <w:rPr>
                <w:b/>
              </w:rPr>
              <w:t>Thus, value decreases; higher-intensity screening becomes low-value</w:t>
            </w:r>
            <w:r w:rsidR="001F794F">
              <w:rPr>
                <w:b/>
              </w:rPr>
              <w:t xml:space="preserve"> </w:t>
            </w:r>
            <w:r w:rsidRPr="00745B33">
              <w:rPr>
                <w:b/>
              </w:rPr>
              <w:t>screening (</w:t>
            </w:r>
            <w:r w:rsidRPr="00745B33">
              <w:rPr>
                <w:b/>
                <w:i/>
                <w:iCs/>
              </w:rPr>
              <w:t>right</w:t>
            </w:r>
            <w:r w:rsidRPr="00B83D03">
              <w:rPr>
                <w:b/>
                <w:iCs/>
              </w:rPr>
              <w:t>)</w:t>
            </w:r>
            <w:r w:rsidR="001F794F" w:rsidRPr="00B83D03">
              <w:rPr>
                <w:b/>
                <w:iCs/>
              </w:rPr>
              <w:t>.</w:t>
            </w:r>
          </w:p>
          <w:p w:rsidR="00C5167D" w:rsidRDefault="00C5167D" w:rsidP="00D15EB0"/>
        </w:tc>
        <w:tc>
          <w:tcPr>
            <w:tcW w:w="1135" w:type="dxa"/>
          </w:tcPr>
          <w:p w:rsidR="00C5167D" w:rsidRDefault="00E531BE" w:rsidP="00D15EB0">
            <w:r>
              <w:t>2 minutes</w:t>
            </w:r>
          </w:p>
        </w:tc>
      </w:tr>
      <w:tr w:rsidR="00C5167D">
        <w:tc>
          <w:tcPr>
            <w:tcW w:w="630" w:type="dxa"/>
          </w:tcPr>
          <w:p w:rsidR="00C5167D" w:rsidRDefault="00745B33" w:rsidP="00D15EB0">
            <w:r>
              <w:t>7</w:t>
            </w:r>
          </w:p>
        </w:tc>
        <w:tc>
          <w:tcPr>
            <w:tcW w:w="9935" w:type="dxa"/>
          </w:tcPr>
          <w:p w:rsidR="00745B33" w:rsidRDefault="00745B33" w:rsidP="00D15EB0">
            <w:r w:rsidRPr="00745B33">
              <w:rPr>
                <w:b/>
              </w:rPr>
              <w:t xml:space="preserve">Screening value cases (Slide 19): </w:t>
            </w:r>
            <w:r>
              <w:t xml:space="preserve">Distribute </w:t>
            </w:r>
            <w:r w:rsidR="00CB7B69">
              <w:t>screening value handout</w:t>
            </w:r>
            <w:r>
              <w:t>.</w:t>
            </w:r>
            <w:r w:rsidR="00203043">
              <w:t xml:space="preserve"> </w:t>
            </w:r>
            <w:r>
              <w:t>As a large group, go over different scenarios and explore how residents would approach each one.</w:t>
            </w:r>
            <w:r w:rsidR="00203043">
              <w:t xml:space="preserve"> </w:t>
            </w:r>
            <w:r w:rsidRPr="00745B33">
              <w:rPr>
                <w:b/>
              </w:rPr>
              <w:t>The first case (mammography)</w:t>
            </w:r>
            <w:r>
              <w:t xml:space="preserve"> is open </w:t>
            </w:r>
            <w:r w:rsidR="00B83D03">
              <w:t>to</w:t>
            </w:r>
            <w:r>
              <w:t xml:space="preserve"> interpretation </w:t>
            </w:r>
            <w:r w:rsidR="009E329D">
              <w:t>because</w:t>
            </w:r>
            <w:r>
              <w:t xml:space="preserve"> different expert groups disagree on recommendations for women aged 40-49</w:t>
            </w:r>
            <w:r w:rsidR="00B83D03">
              <w:t>.</w:t>
            </w:r>
            <w:r>
              <w:t xml:space="preserve"> (USPTF recommends against screening</w:t>
            </w:r>
            <w:r w:rsidR="00B83D03">
              <w:t>.</w:t>
            </w:r>
            <w:r>
              <w:t>)</w:t>
            </w:r>
            <w:r w:rsidR="00203043">
              <w:t xml:space="preserve"> </w:t>
            </w:r>
            <w:r>
              <w:t>Can incorporate data on br</w:t>
            </w:r>
            <w:r w:rsidR="00B83D03">
              <w:t>east cancer over</w:t>
            </w:r>
            <w:r>
              <w:t>diagnosis here.</w:t>
            </w:r>
            <w:r w:rsidR="00203043">
              <w:t xml:space="preserve"> </w:t>
            </w:r>
            <w:r w:rsidRPr="00745B33">
              <w:rPr>
                <w:b/>
              </w:rPr>
              <w:t>Second case</w:t>
            </w:r>
            <w:r>
              <w:t xml:space="preserve"> (very ill patient) is there to demonstrate that screening should not be offered </w:t>
            </w:r>
            <w:r w:rsidR="00B83D03">
              <w:t>to</w:t>
            </w:r>
            <w:r>
              <w:t xml:space="preserve"> patients with </w:t>
            </w:r>
            <w:r w:rsidR="00B83D03">
              <w:t xml:space="preserve">a </w:t>
            </w:r>
            <w:r>
              <w:t>life expectancy less than 15-20 years.</w:t>
            </w:r>
            <w:r w:rsidR="00203043">
              <w:t xml:space="preserve"> </w:t>
            </w:r>
            <w:r>
              <w:t xml:space="preserve">If time permits, can also discuss how comorbidities </w:t>
            </w:r>
            <w:r w:rsidR="006A5DA0">
              <w:t>(</w:t>
            </w:r>
            <w:r>
              <w:t>such as COPD</w:t>
            </w:r>
            <w:r w:rsidR="006A5DA0">
              <w:t>)</w:t>
            </w:r>
            <w:r>
              <w:t xml:space="preserve"> might affect sedation and fact that this should </w:t>
            </w:r>
            <w:r w:rsidR="006A5DA0">
              <w:t xml:space="preserve">also </w:t>
            </w:r>
            <w:r>
              <w:t>often be considered</w:t>
            </w:r>
            <w:r w:rsidR="006A5DA0">
              <w:t xml:space="preserve">. </w:t>
            </w:r>
            <w:r w:rsidRPr="00745B33">
              <w:rPr>
                <w:b/>
              </w:rPr>
              <w:t>Third case</w:t>
            </w:r>
            <w:r>
              <w:t xml:space="preserve"> relates to shared decision making and how patient’s values should come in to play when discussing screening.</w:t>
            </w:r>
            <w:r w:rsidR="00203043">
              <w:t xml:space="preserve"> </w:t>
            </w:r>
            <w:r>
              <w:t xml:space="preserve">For all of them, should also consider downstream testing before offering screening. </w:t>
            </w:r>
          </w:p>
          <w:p w:rsidR="00745B33" w:rsidRPr="00745B33" w:rsidRDefault="00745B33" w:rsidP="00745B33">
            <w:r w:rsidRPr="00745B33">
              <w:rPr>
                <w:b/>
              </w:rPr>
              <w:t>Slide 20</w:t>
            </w:r>
            <w:r>
              <w:t>:</w:t>
            </w:r>
            <w:r w:rsidR="00203043">
              <w:t xml:space="preserve"> </w:t>
            </w:r>
            <w:r>
              <w:t>Discuss importance of screening smarter.</w:t>
            </w:r>
            <w:r w:rsidR="00203043">
              <w:t xml:space="preserve"> </w:t>
            </w:r>
            <w:r w:rsidRPr="00745B33">
              <w:rPr>
                <w:i/>
              </w:rPr>
              <w:t>For first bullet point</w:t>
            </w:r>
            <w:r>
              <w:t>, refer back to value framework and optimal intensity screening.</w:t>
            </w:r>
            <w:r w:rsidR="00203043">
              <w:t xml:space="preserve"> </w:t>
            </w:r>
            <w:r w:rsidRPr="00745B33">
              <w:rPr>
                <w:i/>
              </w:rPr>
              <w:t>Bullet point two</w:t>
            </w:r>
            <w:r w:rsidRPr="00745B33">
              <w:t xml:space="preserve">: As many as 50% of people over 75 report </w:t>
            </w:r>
            <w:r w:rsidR="009D695A">
              <w:t xml:space="preserve">that their </w:t>
            </w:r>
            <w:r w:rsidRPr="00745B33">
              <w:t xml:space="preserve">physician </w:t>
            </w:r>
            <w:r w:rsidRPr="00745B33">
              <w:lastRenderedPageBreak/>
              <w:t>recommends continued screening</w:t>
            </w:r>
            <w:r>
              <w:t>. Also</w:t>
            </w:r>
            <w:r w:rsidR="009D695A">
              <w:t>,</w:t>
            </w:r>
            <w:r>
              <w:t xml:space="preserve"> </w:t>
            </w:r>
            <w:r w:rsidRPr="00745B33">
              <w:t>10% of women with advanced non</w:t>
            </w:r>
            <w:r w:rsidR="009D695A">
              <w:t>–</w:t>
            </w:r>
            <w:r w:rsidRPr="00745B33">
              <w:t xml:space="preserve">breast cancer underwent mammography, </w:t>
            </w:r>
            <w:r w:rsidR="009D695A">
              <w:t xml:space="preserve">and </w:t>
            </w:r>
            <w:r w:rsidRPr="00745B33">
              <w:t>15% of men with advanced non</w:t>
            </w:r>
            <w:r w:rsidR="009D695A">
              <w:t>–</w:t>
            </w:r>
            <w:r w:rsidRPr="00745B33">
              <w:t>prostate cancer underwent PSA testing</w:t>
            </w:r>
            <w:r>
              <w:t xml:space="preserve">. </w:t>
            </w:r>
            <w:r w:rsidRPr="00745B33">
              <w:rPr>
                <w:i/>
              </w:rPr>
              <w:t>Bullet point three</w:t>
            </w:r>
            <w:r w:rsidRPr="00745B33">
              <w:t xml:space="preserve">: Make sure patient </w:t>
            </w:r>
            <w:r w:rsidR="00CB7B69">
              <w:t>would consider</w:t>
            </w:r>
            <w:r w:rsidRPr="00745B33">
              <w:t xml:space="preserve"> transrectal biopsy before ordering PSA</w:t>
            </w:r>
            <w:r>
              <w:t xml:space="preserve">, </w:t>
            </w:r>
            <w:r w:rsidR="00CB7B69">
              <w:t>breast</w:t>
            </w:r>
            <w:r>
              <w:t xml:space="preserve"> biopsy before ordering mammography, etc.</w:t>
            </w:r>
          </w:p>
          <w:p w:rsidR="00C5167D" w:rsidRPr="00745B33" w:rsidRDefault="00C5167D" w:rsidP="00D15EB0"/>
        </w:tc>
        <w:tc>
          <w:tcPr>
            <w:tcW w:w="1135" w:type="dxa"/>
          </w:tcPr>
          <w:p w:rsidR="00C5167D" w:rsidRDefault="00C36A98" w:rsidP="00D15EB0">
            <w:r>
              <w:lastRenderedPageBreak/>
              <w:t>10 minutes</w:t>
            </w:r>
          </w:p>
        </w:tc>
      </w:tr>
      <w:tr w:rsidR="00C5167D">
        <w:tc>
          <w:tcPr>
            <w:tcW w:w="630" w:type="dxa"/>
          </w:tcPr>
          <w:p w:rsidR="00C5167D" w:rsidRDefault="00745B33" w:rsidP="00D15EB0">
            <w:r>
              <w:lastRenderedPageBreak/>
              <w:t>8</w:t>
            </w:r>
          </w:p>
        </w:tc>
        <w:tc>
          <w:tcPr>
            <w:tcW w:w="9935" w:type="dxa"/>
          </w:tcPr>
          <w:p w:rsidR="00C5167D" w:rsidRDefault="00745B33" w:rsidP="00D15EB0">
            <w:r w:rsidRPr="00745B33">
              <w:rPr>
                <w:b/>
              </w:rPr>
              <w:t>Slides 21-23</w:t>
            </w:r>
            <w:r>
              <w:rPr>
                <w:b/>
              </w:rPr>
              <w:t>:</w:t>
            </w:r>
            <w:r w:rsidR="00203043">
              <w:rPr>
                <w:b/>
              </w:rPr>
              <w:t xml:space="preserve"> </w:t>
            </w:r>
            <w:r w:rsidR="00C36A98">
              <w:t xml:space="preserve">Show spectrum of cost-effectiveness and explain that different tests lie along the spectrum (as demonstrated by </w:t>
            </w:r>
            <w:r w:rsidR="00C36A98" w:rsidRPr="00C36A98">
              <w:rPr>
                <w:b/>
              </w:rPr>
              <w:t>Slide 22</w:t>
            </w:r>
            <w:r w:rsidR="00C36A98">
              <w:rPr>
                <w:b/>
              </w:rPr>
              <w:t xml:space="preserve">). </w:t>
            </w:r>
            <w:r w:rsidR="00C36A98">
              <w:t>Introduce concept of QALY.</w:t>
            </w:r>
            <w:r w:rsidR="00C36A98">
              <w:rPr>
                <w:b/>
              </w:rPr>
              <w:t xml:space="preserve"> For slide 23, </w:t>
            </w:r>
            <w:r w:rsidR="00C36A98">
              <w:t>discuss how lung cancer is a recent example of a “successful” screening test and that a recent study demonstrated its cost effectiveness based o</w:t>
            </w:r>
            <w:r w:rsidR="009D695A">
              <w:t xml:space="preserve">n </w:t>
            </w:r>
            <w:r w:rsidR="00C36A98">
              <w:t>QALY &lt;$100K.</w:t>
            </w:r>
          </w:p>
          <w:p w:rsidR="00CB7B69" w:rsidRPr="00C36A98" w:rsidRDefault="00CB7B69" w:rsidP="00D15EB0"/>
        </w:tc>
        <w:tc>
          <w:tcPr>
            <w:tcW w:w="1135" w:type="dxa"/>
          </w:tcPr>
          <w:p w:rsidR="00C5167D" w:rsidRDefault="00C36A98" w:rsidP="00D15EB0">
            <w:r>
              <w:t>5 minutes</w:t>
            </w:r>
          </w:p>
        </w:tc>
      </w:tr>
      <w:tr w:rsidR="00C5167D" w:rsidTr="008761D7">
        <w:trPr>
          <w:trHeight w:val="1331"/>
        </w:trPr>
        <w:tc>
          <w:tcPr>
            <w:tcW w:w="630" w:type="dxa"/>
          </w:tcPr>
          <w:p w:rsidR="00C5167D" w:rsidRDefault="00C36A98" w:rsidP="00D15EB0">
            <w:r>
              <w:t>9</w:t>
            </w:r>
          </w:p>
        </w:tc>
        <w:tc>
          <w:tcPr>
            <w:tcW w:w="9935" w:type="dxa"/>
          </w:tcPr>
          <w:p w:rsidR="00C5167D" w:rsidRDefault="00C36A98" w:rsidP="009D695A">
            <w:r w:rsidRPr="00C36A98">
              <w:rPr>
                <w:b/>
              </w:rPr>
              <w:t>Slide 24</w:t>
            </w:r>
            <w:r>
              <w:t>: Summary.</w:t>
            </w:r>
            <w:r w:rsidR="00203043">
              <w:t xml:space="preserve"> </w:t>
            </w:r>
            <w:r>
              <w:t>Reiterate that diagnostic testing and screening should be base</w:t>
            </w:r>
            <w:r w:rsidR="00CB7B69">
              <w:t>d on</w:t>
            </w:r>
            <w:r>
              <w:t xml:space="preserve"> characteristics of </w:t>
            </w:r>
            <w:r w:rsidR="00CB7B69">
              <w:t xml:space="preserve">the </w:t>
            </w:r>
            <w:r>
              <w:t>test in question</w:t>
            </w:r>
            <w:r w:rsidR="009D695A">
              <w:t xml:space="preserve"> and on an </w:t>
            </w:r>
            <w:r w:rsidR="00CB7B69">
              <w:t>individual patient’s values and</w:t>
            </w:r>
            <w:r>
              <w:t xml:space="preserve"> goals.</w:t>
            </w:r>
          </w:p>
        </w:tc>
        <w:tc>
          <w:tcPr>
            <w:tcW w:w="1135" w:type="dxa"/>
          </w:tcPr>
          <w:p w:rsidR="00C5167D" w:rsidRDefault="00C36A98" w:rsidP="00D15EB0">
            <w:r>
              <w:t>5 minutes</w:t>
            </w:r>
          </w:p>
        </w:tc>
      </w:tr>
    </w:tbl>
    <w:p w:rsidR="00D15EB0" w:rsidRPr="00D15EB0" w:rsidRDefault="00D15EB0" w:rsidP="00D15EB0"/>
    <w:p w:rsidR="00D15EB0" w:rsidRPr="00D15EB0" w:rsidRDefault="00D15EB0" w:rsidP="00D15EB0"/>
    <w:p w:rsidR="008761D7" w:rsidRDefault="008761D7" w:rsidP="00D15EB0">
      <w:pPr>
        <w:rPr>
          <w:b/>
        </w:rPr>
      </w:pPr>
    </w:p>
    <w:p w:rsidR="008761D7" w:rsidRDefault="008761D7" w:rsidP="00D15EB0">
      <w:pPr>
        <w:rPr>
          <w:b/>
        </w:rPr>
      </w:pPr>
    </w:p>
    <w:p w:rsidR="008761D7" w:rsidRDefault="008761D7" w:rsidP="00D15EB0">
      <w:pPr>
        <w:rPr>
          <w:b/>
        </w:rPr>
      </w:pPr>
    </w:p>
    <w:p w:rsidR="00D15EB0" w:rsidRPr="0085463D" w:rsidRDefault="00D15EB0" w:rsidP="00D15EB0">
      <w:pPr>
        <w:rPr>
          <w:b/>
        </w:rPr>
      </w:pPr>
      <w:r w:rsidRPr="0085463D">
        <w:rPr>
          <w:b/>
        </w:rPr>
        <w:t>References:</w:t>
      </w:r>
    </w:p>
    <w:p w:rsidR="008761D7" w:rsidRPr="0085463D" w:rsidRDefault="008761D7" w:rsidP="008761D7">
      <w:r w:rsidRPr="0085463D">
        <w:t>1.</w:t>
      </w:r>
      <w:r w:rsidR="007F4220" w:rsidRPr="0085463D">
        <w:t xml:space="preserve"> </w:t>
      </w:r>
      <w:r w:rsidRPr="0085463D">
        <w:t xml:space="preserve">Glaser AN. </w:t>
      </w:r>
      <w:r w:rsidRPr="0085463D">
        <w:rPr>
          <w:i/>
          <w:iCs/>
        </w:rPr>
        <w:t>High</w:t>
      </w:r>
      <w:r w:rsidR="007F4220" w:rsidRPr="0085463D">
        <w:rPr>
          <w:i/>
          <w:iCs/>
        </w:rPr>
        <w:t>-</w:t>
      </w:r>
      <w:r w:rsidRPr="0085463D">
        <w:rPr>
          <w:i/>
          <w:iCs/>
        </w:rPr>
        <w:t>Yield Biostatistics</w:t>
      </w:r>
      <w:r w:rsidR="00143F65" w:rsidRPr="0085463D">
        <w:t>.</w:t>
      </w:r>
      <w:r w:rsidRPr="0085463D">
        <w:t xml:space="preserve"> 3</w:t>
      </w:r>
      <w:r w:rsidRPr="0085463D">
        <w:rPr>
          <w:vertAlign w:val="superscript"/>
        </w:rPr>
        <w:t>rd</w:t>
      </w:r>
      <w:r w:rsidRPr="0085463D">
        <w:t xml:space="preserve"> ed.</w:t>
      </w:r>
      <w:r w:rsidR="00203043">
        <w:t xml:space="preserve"> </w:t>
      </w:r>
      <w:r w:rsidRPr="0085463D">
        <w:t>Philadelphia: Lippincott Williams and Wilkins; 200</w:t>
      </w:r>
      <w:r w:rsidR="007F4220" w:rsidRPr="0085463D">
        <w:t>4.</w:t>
      </w:r>
    </w:p>
    <w:p w:rsidR="008761D7" w:rsidRPr="0085463D" w:rsidRDefault="008761D7" w:rsidP="008761D7">
      <w:r w:rsidRPr="0085463D">
        <w:t>2.</w:t>
      </w:r>
      <w:r w:rsidR="007F4220" w:rsidRPr="0085463D">
        <w:t xml:space="preserve"> </w:t>
      </w:r>
      <w:r w:rsidRPr="0085463D">
        <w:t>McGee</w:t>
      </w:r>
      <w:r w:rsidR="007F4220" w:rsidRPr="0085463D">
        <w:t xml:space="preserve"> </w:t>
      </w:r>
      <w:r w:rsidRPr="0085463D">
        <w:t xml:space="preserve">S. </w:t>
      </w:r>
      <w:r w:rsidRPr="0085463D">
        <w:rPr>
          <w:i/>
          <w:iCs/>
        </w:rPr>
        <w:t>Evidence-</w:t>
      </w:r>
      <w:r w:rsidR="00143F65" w:rsidRPr="0085463D">
        <w:rPr>
          <w:i/>
          <w:iCs/>
        </w:rPr>
        <w:t>B</w:t>
      </w:r>
      <w:r w:rsidRPr="0085463D">
        <w:rPr>
          <w:i/>
          <w:iCs/>
        </w:rPr>
        <w:t>a</w:t>
      </w:r>
      <w:r w:rsidR="00143F65" w:rsidRPr="0085463D">
        <w:rPr>
          <w:i/>
          <w:iCs/>
        </w:rPr>
        <w:t>sed P</w:t>
      </w:r>
      <w:r w:rsidRPr="0085463D">
        <w:rPr>
          <w:i/>
          <w:iCs/>
        </w:rPr>
        <w:t xml:space="preserve">hysical </w:t>
      </w:r>
      <w:r w:rsidR="00143F65" w:rsidRPr="0085463D">
        <w:rPr>
          <w:i/>
          <w:iCs/>
        </w:rPr>
        <w:t>D</w:t>
      </w:r>
      <w:r w:rsidRPr="0085463D">
        <w:rPr>
          <w:i/>
          <w:iCs/>
        </w:rPr>
        <w:t>iagnosis</w:t>
      </w:r>
      <w:r w:rsidRPr="0085463D">
        <w:rPr>
          <w:iCs/>
        </w:rPr>
        <w:t xml:space="preserve">. </w:t>
      </w:r>
      <w:r w:rsidR="00143F65" w:rsidRPr="0085463D">
        <w:rPr>
          <w:iCs/>
        </w:rPr>
        <w:t xml:space="preserve">Philadelphia: </w:t>
      </w:r>
      <w:r w:rsidRPr="0085463D">
        <w:rPr>
          <w:iCs/>
        </w:rPr>
        <w:t xml:space="preserve">Elsevier </w:t>
      </w:r>
      <w:r w:rsidR="00143F65" w:rsidRPr="0085463D">
        <w:rPr>
          <w:iCs/>
        </w:rPr>
        <w:t>Saunders;</w:t>
      </w:r>
      <w:r w:rsidRPr="0085463D">
        <w:rPr>
          <w:iCs/>
        </w:rPr>
        <w:t xml:space="preserve"> 2012.</w:t>
      </w:r>
    </w:p>
    <w:p w:rsidR="008761D7" w:rsidRPr="008F3AD5" w:rsidRDefault="008761D7" w:rsidP="008761D7">
      <w:pPr>
        <w:rPr>
          <w:rFonts w:asciiTheme="minorHAnsi" w:hAnsiTheme="minorHAnsi"/>
        </w:rPr>
      </w:pPr>
      <w:r w:rsidRPr="0085463D">
        <w:t>3.</w:t>
      </w:r>
      <w:r w:rsidR="005C65F6" w:rsidRPr="0085463D">
        <w:t xml:space="preserve"> </w:t>
      </w:r>
      <w:r w:rsidRPr="0085463D">
        <w:t>Harris RP, Wilt TJ, Qaseem A</w:t>
      </w:r>
      <w:r w:rsidR="005C65F6" w:rsidRPr="0085463D">
        <w:t xml:space="preserve">; </w:t>
      </w:r>
      <w:r w:rsidRPr="0085463D">
        <w:t>High Value Care Task Force of the American College of Physicians. A value framework for cancer screening: advice for high-value care from the American College of Physicians. Ann Intern Med. 2015</w:t>
      </w:r>
      <w:r w:rsidR="005C65F6" w:rsidRPr="0085463D">
        <w:t xml:space="preserve"> May</w:t>
      </w:r>
      <w:r w:rsidR="008F3AD5">
        <w:t xml:space="preserve"> 19</w:t>
      </w:r>
      <w:r w:rsidRPr="0085463D">
        <w:t>; 162:</w:t>
      </w:r>
      <w:r w:rsidRPr="008F3AD5">
        <w:t>712-</w:t>
      </w:r>
      <w:r w:rsidRPr="008F3AD5">
        <w:rPr>
          <w:rFonts w:asciiTheme="minorHAnsi" w:hAnsiTheme="minorHAnsi"/>
        </w:rPr>
        <w:t xml:space="preserve">7. </w:t>
      </w:r>
      <w:r w:rsidR="008F3AD5" w:rsidRPr="008F3AD5">
        <w:t>[PMID: 25984846]</w:t>
      </w:r>
    </w:p>
    <w:p w:rsidR="008761D7" w:rsidRPr="0085463D" w:rsidRDefault="008761D7" w:rsidP="008761D7">
      <w:pPr>
        <w:rPr>
          <w:rFonts w:asciiTheme="minorHAnsi" w:hAnsiTheme="minorHAnsi"/>
        </w:rPr>
      </w:pPr>
      <w:r w:rsidRPr="0085463D">
        <w:rPr>
          <w:rFonts w:asciiTheme="minorHAnsi" w:hAnsiTheme="minorHAnsi"/>
        </w:rPr>
        <w:t>4.</w:t>
      </w:r>
      <w:r w:rsidR="005C65F6" w:rsidRPr="0085463D">
        <w:rPr>
          <w:rFonts w:asciiTheme="minorHAnsi" w:hAnsiTheme="minorHAnsi"/>
        </w:rPr>
        <w:t xml:space="preserve"> Owens, D, Qaseem A, Chou R, Shekelle P; Clinical Guidelines Committee of the American College of Physicians</w:t>
      </w:r>
      <w:r w:rsidR="005C65F6" w:rsidRPr="0085463D">
        <w:rPr>
          <w:rFonts w:asciiTheme="minorHAnsi" w:hAnsiTheme="minorHAnsi"/>
          <w:i/>
          <w:iCs/>
        </w:rPr>
        <w:t xml:space="preserve">. </w:t>
      </w:r>
      <w:r w:rsidR="005C65F6" w:rsidRPr="0085463D">
        <w:rPr>
          <w:rFonts w:asciiTheme="minorHAnsi" w:eastAsia="Times New Roman" w:hAnsiTheme="minorHAnsi"/>
          <w:bCs/>
          <w:kern w:val="36"/>
        </w:rPr>
        <w:t>High-value, cost-conscious health care: concepts for clinicians to evaluate the benefits, harms, and costs of medical interventions.</w:t>
      </w:r>
      <w:r w:rsidR="005C65F6" w:rsidRPr="0085463D">
        <w:rPr>
          <w:rFonts w:asciiTheme="minorHAnsi" w:hAnsiTheme="minorHAnsi"/>
          <w:i/>
          <w:iCs/>
        </w:rPr>
        <w:t xml:space="preserve"> </w:t>
      </w:r>
      <w:r w:rsidR="005C65F6" w:rsidRPr="0085463D">
        <w:rPr>
          <w:rFonts w:asciiTheme="minorHAnsi" w:hAnsiTheme="minorHAnsi"/>
          <w:iCs/>
        </w:rPr>
        <w:t>Ann Intern Med. 2011 Feb 1;154(3):174-80</w:t>
      </w:r>
      <w:r w:rsidR="005C65F6" w:rsidRPr="0085463D">
        <w:rPr>
          <w:rFonts w:asciiTheme="minorHAnsi" w:hAnsiTheme="minorHAnsi"/>
        </w:rPr>
        <w:t>. [PMID: 21282697]</w:t>
      </w:r>
    </w:p>
    <w:p w:rsidR="008761D7" w:rsidRPr="0085463D" w:rsidRDefault="008761D7" w:rsidP="008761D7">
      <w:r w:rsidRPr="0085463D">
        <w:rPr>
          <w:rFonts w:asciiTheme="minorHAnsi" w:hAnsiTheme="minorHAnsi"/>
        </w:rPr>
        <w:t>5.</w:t>
      </w:r>
      <w:r w:rsidR="00F34804" w:rsidRPr="0085463D">
        <w:rPr>
          <w:rFonts w:asciiTheme="minorHAnsi" w:hAnsiTheme="minorHAnsi"/>
        </w:rPr>
        <w:t xml:space="preserve"> </w:t>
      </w:r>
      <w:r w:rsidRPr="0085463D">
        <w:rPr>
          <w:rFonts w:asciiTheme="minorHAnsi" w:hAnsiTheme="minorHAnsi"/>
        </w:rPr>
        <w:t>Cohen</w:t>
      </w:r>
      <w:r w:rsidRPr="0085463D">
        <w:t xml:space="preserve"> JT, </w:t>
      </w:r>
      <w:r w:rsidR="00F34804" w:rsidRPr="0085463D">
        <w:t>Neumann PJ, Weinstein MC</w:t>
      </w:r>
      <w:r w:rsidRPr="0085463D">
        <w:t xml:space="preserve">. Does preventive care save money? Health economics and the presidential </w:t>
      </w:r>
      <w:r w:rsidR="00F34804" w:rsidRPr="0085463D">
        <w:t>candidates. N Engl J Med. 2008 Feb 14;</w:t>
      </w:r>
      <w:r w:rsidRPr="0085463D">
        <w:t>358</w:t>
      </w:r>
      <w:r w:rsidR="00F34804" w:rsidRPr="0085463D">
        <w:t>(7)</w:t>
      </w:r>
      <w:r w:rsidRPr="0085463D">
        <w:t>:661-3.</w:t>
      </w:r>
      <w:r w:rsidR="008F3AD5">
        <w:t xml:space="preserve"> [PMID: 18272889]</w:t>
      </w:r>
    </w:p>
    <w:p w:rsidR="008761D7" w:rsidRPr="0085463D" w:rsidRDefault="008761D7" w:rsidP="008761D7">
      <w:r w:rsidRPr="0085463D">
        <w:t>6.</w:t>
      </w:r>
      <w:r w:rsidR="00F34804" w:rsidRPr="0085463D">
        <w:t xml:space="preserve"> </w:t>
      </w:r>
      <w:r w:rsidRPr="0085463D">
        <w:t xml:space="preserve">Institute of Medicine. </w:t>
      </w:r>
      <w:r w:rsidRPr="0085463D">
        <w:rPr>
          <w:i/>
          <w:iCs/>
        </w:rPr>
        <w:t>The Healthcare Imperative: Lowering Costs and Improving Outcomes: Workshop Series Summary</w:t>
      </w:r>
      <w:r w:rsidRPr="0085463D">
        <w:t>. Washington DC: National Academics Press; 201</w:t>
      </w:r>
      <w:r w:rsidR="00F34804" w:rsidRPr="0085463D">
        <w:t>0.</w:t>
      </w:r>
    </w:p>
    <w:p w:rsidR="00C5167D" w:rsidRPr="0085463D" w:rsidRDefault="00C5167D" w:rsidP="00C5167D">
      <w:r w:rsidRPr="0085463D">
        <w:t>7.</w:t>
      </w:r>
      <w:r w:rsidR="00F34804" w:rsidRPr="0085463D">
        <w:t xml:space="preserve"> </w:t>
      </w:r>
      <w:r w:rsidRPr="0085463D">
        <w:t xml:space="preserve">Moynihan R, </w:t>
      </w:r>
      <w:r w:rsidR="00F34804" w:rsidRPr="0085463D">
        <w:t>Doust J, Henry D</w:t>
      </w:r>
      <w:r w:rsidRPr="0085463D">
        <w:t>. Preventing overdiagnosis: how to stop harming the healthy.</w:t>
      </w:r>
      <w:r w:rsidR="00203043">
        <w:t xml:space="preserve"> </w:t>
      </w:r>
      <w:r w:rsidRPr="0085463D">
        <w:t>BMJ. 2012;</w:t>
      </w:r>
      <w:r w:rsidR="00F34804" w:rsidRPr="0085463D">
        <w:t>344:</w:t>
      </w:r>
      <w:r w:rsidRPr="0085463D">
        <w:t>e3502.</w:t>
      </w:r>
      <w:r w:rsidR="00203043">
        <w:t xml:space="preserve"> [PMID: 22645185]</w:t>
      </w:r>
    </w:p>
    <w:p w:rsidR="00C5167D" w:rsidRPr="0085463D" w:rsidRDefault="00C5167D" w:rsidP="00C5167D">
      <w:r w:rsidRPr="0085463D">
        <w:t>8.</w:t>
      </w:r>
      <w:r w:rsidR="00F34804" w:rsidRPr="0085463D">
        <w:t xml:space="preserve"> </w:t>
      </w:r>
      <w:r w:rsidRPr="0085463D">
        <w:t>Wilt TJ, Harris RP, Qaseem A; High Value Care Task Force of the American College of Physicians. Screening for cancer: advice for high-value care from the American College of Physicians. Ann Intern Med. 2015</w:t>
      </w:r>
      <w:r w:rsidR="00F34804" w:rsidRPr="0085463D">
        <w:t xml:space="preserve"> May 19</w:t>
      </w:r>
      <w:r w:rsidRPr="0085463D">
        <w:t>;162</w:t>
      </w:r>
      <w:r w:rsidR="00F34804" w:rsidRPr="0085463D">
        <w:t>(10)</w:t>
      </w:r>
      <w:r w:rsidR="0085463D">
        <w:t>:718-25. [PMID: 25984847]</w:t>
      </w:r>
    </w:p>
    <w:p w:rsidR="00C5167D" w:rsidRPr="0085463D" w:rsidRDefault="00C5167D" w:rsidP="00C5167D">
      <w:r w:rsidRPr="0085463D">
        <w:t>9.</w:t>
      </w:r>
      <w:r w:rsidR="00203043">
        <w:t xml:space="preserve"> </w:t>
      </w:r>
      <w:r w:rsidRPr="0085463D">
        <w:t xml:space="preserve">Welch HG, Schwartz L, Woloshin S. </w:t>
      </w:r>
      <w:r w:rsidRPr="0085463D">
        <w:rPr>
          <w:i/>
          <w:iCs/>
        </w:rPr>
        <w:t xml:space="preserve">Overdiagnosed: Making People Sick in the Pursuit of Health. </w:t>
      </w:r>
      <w:r w:rsidRPr="0085463D">
        <w:t>Boston, MA</w:t>
      </w:r>
      <w:r w:rsidRPr="0085463D">
        <w:rPr>
          <w:iCs/>
        </w:rPr>
        <w:t>: Beacon Press; 2011.</w:t>
      </w:r>
    </w:p>
    <w:p w:rsidR="00C5167D" w:rsidRPr="0085463D" w:rsidRDefault="00C5167D" w:rsidP="00C5167D">
      <w:r w:rsidRPr="0085463D">
        <w:t>10</w:t>
      </w:r>
      <w:r w:rsidRPr="0085463D">
        <w:rPr>
          <w:i/>
          <w:iCs/>
        </w:rPr>
        <w:t>.</w:t>
      </w:r>
      <w:r w:rsidR="00203043">
        <w:rPr>
          <w:i/>
          <w:iCs/>
        </w:rPr>
        <w:t xml:space="preserve"> </w:t>
      </w:r>
      <w:r w:rsidRPr="0085463D">
        <w:t xml:space="preserve">Moriates C, Arora V, Shah, N. </w:t>
      </w:r>
      <w:r w:rsidRPr="0085463D">
        <w:rPr>
          <w:i/>
          <w:iCs/>
        </w:rPr>
        <w:t>Understanding Va</w:t>
      </w:r>
      <w:r w:rsidR="00CB7B69" w:rsidRPr="0085463D">
        <w:rPr>
          <w:i/>
          <w:iCs/>
        </w:rPr>
        <w:t>l</w:t>
      </w:r>
      <w:r w:rsidRPr="0085463D">
        <w:rPr>
          <w:i/>
          <w:iCs/>
        </w:rPr>
        <w:t>ue-Based Healthcare</w:t>
      </w:r>
      <w:r w:rsidR="001E6B75" w:rsidRPr="0085463D">
        <w:t xml:space="preserve">. New York: </w:t>
      </w:r>
      <w:r w:rsidRPr="0085463D">
        <w:t>McGraw-Hill Education; 2015.</w:t>
      </w:r>
    </w:p>
    <w:p w:rsidR="00C5167D" w:rsidRPr="00C5167D" w:rsidRDefault="00C5167D" w:rsidP="00C5167D">
      <w:pPr>
        <w:rPr>
          <w:sz w:val="20"/>
          <w:szCs w:val="20"/>
        </w:rPr>
      </w:pPr>
    </w:p>
    <w:p w:rsidR="00C5167D" w:rsidRDefault="00C5167D" w:rsidP="00D15EB0">
      <w:pPr>
        <w:rPr>
          <w:b/>
        </w:rPr>
      </w:pPr>
    </w:p>
    <w:p w:rsidR="00C5167D" w:rsidRDefault="00C5167D" w:rsidP="00D15EB0">
      <w:pPr>
        <w:rPr>
          <w:b/>
        </w:rPr>
      </w:pPr>
    </w:p>
    <w:p w:rsidR="00C5167D" w:rsidRDefault="00C5167D" w:rsidP="00D15EB0">
      <w:pPr>
        <w:rPr>
          <w:b/>
        </w:rPr>
      </w:pPr>
    </w:p>
    <w:p w:rsidR="00C5167D" w:rsidRDefault="00C5167D" w:rsidP="00D15EB0">
      <w:pPr>
        <w:rPr>
          <w:b/>
        </w:rPr>
      </w:pPr>
    </w:p>
    <w:p w:rsidR="00C5167D" w:rsidRDefault="00C5167D" w:rsidP="00D15EB0">
      <w:pPr>
        <w:rPr>
          <w:b/>
        </w:rPr>
      </w:pPr>
    </w:p>
    <w:p w:rsidR="00C5167D" w:rsidRDefault="00C5167D" w:rsidP="00D15EB0">
      <w:pPr>
        <w:rPr>
          <w:b/>
        </w:rPr>
      </w:pPr>
    </w:p>
    <w:p w:rsidR="00C5167D" w:rsidRDefault="00C5167D" w:rsidP="00D15EB0">
      <w:pPr>
        <w:rPr>
          <w:b/>
        </w:rPr>
      </w:pPr>
    </w:p>
    <w:p w:rsidR="00C36A98" w:rsidRDefault="00C16F32" w:rsidP="00D15EB0">
      <w:pPr>
        <w:rPr>
          <w:b/>
        </w:rPr>
      </w:pPr>
      <w:r>
        <w:rPr>
          <w:b/>
        </w:rPr>
        <w:t>Handout</w:t>
      </w:r>
      <w:r w:rsidR="00C36A98">
        <w:rPr>
          <w:b/>
        </w:rPr>
        <w:t xml:space="preserve"> for Screening Cases (Slide 19)</w:t>
      </w:r>
    </w:p>
    <w:p w:rsidR="00C36A98" w:rsidRPr="00C5167D" w:rsidRDefault="00C36A98" w:rsidP="00C36A98">
      <w:pPr>
        <w:rPr>
          <w:sz w:val="20"/>
          <w:szCs w:val="20"/>
        </w:rPr>
      </w:pPr>
      <w:r>
        <w:rPr>
          <w:b/>
        </w:rPr>
        <w:t xml:space="preserve">From: </w:t>
      </w:r>
      <w:r w:rsidRPr="00C5167D">
        <w:rPr>
          <w:sz w:val="20"/>
          <w:szCs w:val="20"/>
        </w:rPr>
        <w:t>Harris RP, Wilt TJ, Qaseem A</w:t>
      </w:r>
      <w:r w:rsidR="0085463D">
        <w:rPr>
          <w:sz w:val="20"/>
          <w:szCs w:val="20"/>
        </w:rPr>
        <w:t>;</w:t>
      </w:r>
      <w:r w:rsidRPr="00C5167D">
        <w:rPr>
          <w:sz w:val="20"/>
          <w:szCs w:val="20"/>
        </w:rPr>
        <w:t> High Value Care Task Force of the American College of Physicians. A value framework for cancer screening: advice for high-value care from the American College of Physicians. Ann Intern Med. 2015</w:t>
      </w:r>
      <w:r w:rsidR="0085463D">
        <w:rPr>
          <w:sz w:val="20"/>
          <w:szCs w:val="20"/>
        </w:rPr>
        <w:t xml:space="preserve"> May 19</w:t>
      </w:r>
      <w:r w:rsidRPr="00C5167D">
        <w:rPr>
          <w:sz w:val="20"/>
          <w:szCs w:val="20"/>
        </w:rPr>
        <w:t>; 162</w:t>
      </w:r>
      <w:r w:rsidR="0085463D">
        <w:rPr>
          <w:sz w:val="20"/>
          <w:szCs w:val="20"/>
        </w:rPr>
        <w:t>(10)</w:t>
      </w:r>
      <w:r w:rsidRPr="00C5167D">
        <w:rPr>
          <w:sz w:val="20"/>
          <w:szCs w:val="20"/>
        </w:rPr>
        <w:t xml:space="preserve">:712-7. </w:t>
      </w:r>
      <w:r w:rsidR="0085463D">
        <w:rPr>
          <w:sz w:val="20"/>
          <w:szCs w:val="20"/>
        </w:rPr>
        <w:t>[PMID: 25984846]</w:t>
      </w:r>
    </w:p>
    <w:p w:rsidR="0085463D" w:rsidRDefault="0085463D" w:rsidP="00C36A98">
      <w:pPr>
        <w:rPr>
          <w:sz w:val="20"/>
          <w:szCs w:val="20"/>
        </w:rPr>
      </w:pPr>
    </w:p>
    <w:p w:rsidR="00C36A98" w:rsidRPr="00C5167D" w:rsidRDefault="0085463D" w:rsidP="00C36A98">
      <w:pPr>
        <w:rPr>
          <w:sz w:val="20"/>
          <w:szCs w:val="20"/>
        </w:rPr>
      </w:pPr>
      <w:r w:rsidRPr="00870D2D">
        <w:rPr>
          <w:rFonts w:asciiTheme="minorHAnsi" w:hAnsiTheme="minorHAnsi"/>
          <w:sz w:val="20"/>
          <w:szCs w:val="20"/>
        </w:rPr>
        <w:t>Owens, D, Qaseem A, Chou R, Shekelle P; Clinical Guidelines Committee of the American College of Physicians</w:t>
      </w:r>
      <w:r w:rsidRPr="00870D2D">
        <w:rPr>
          <w:rFonts w:asciiTheme="minorHAnsi" w:hAnsiTheme="minorHAnsi"/>
          <w:i/>
          <w:iCs/>
          <w:sz w:val="20"/>
          <w:szCs w:val="20"/>
        </w:rPr>
        <w:t xml:space="preserve">. </w:t>
      </w:r>
      <w:r w:rsidRPr="00870D2D">
        <w:rPr>
          <w:rFonts w:asciiTheme="minorHAnsi" w:eastAsia="Times New Roman" w:hAnsiTheme="minorHAnsi"/>
          <w:bCs/>
          <w:kern w:val="36"/>
          <w:sz w:val="20"/>
          <w:szCs w:val="20"/>
        </w:rPr>
        <w:t>High-value, cost-conscious health care: concepts for clinicians to evaluate the benefits, harms, and costs of medical interventions.</w:t>
      </w:r>
      <w:r w:rsidRPr="00870D2D"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870D2D">
        <w:rPr>
          <w:rFonts w:asciiTheme="minorHAnsi" w:hAnsiTheme="minorHAnsi"/>
          <w:iCs/>
          <w:sz w:val="20"/>
          <w:szCs w:val="20"/>
        </w:rPr>
        <w:t>Ann Intern Med. 2011 Feb 1;154(3):174-80</w:t>
      </w:r>
      <w:r w:rsidRPr="00870D2D">
        <w:rPr>
          <w:rFonts w:asciiTheme="minorHAnsi" w:hAnsiTheme="minorHAnsi"/>
          <w:sz w:val="20"/>
          <w:szCs w:val="20"/>
        </w:rPr>
        <w:t>. [PMID: 21282697]</w:t>
      </w:r>
    </w:p>
    <w:p w:rsidR="00C36A98" w:rsidRDefault="00C36A98" w:rsidP="00D15EB0">
      <w:pPr>
        <w:rPr>
          <w:b/>
        </w:rPr>
      </w:pPr>
    </w:p>
    <w:p w:rsidR="00C5167D" w:rsidRDefault="00DA0A8F" w:rsidP="00D15EB0">
      <w:pPr>
        <w:rPr>
          <w:b/>
        </w:rPr>
      </w:pPr>
      <w:r>
        <w:rPr>
          <w:b/>
          <w:noProof/>
        </w:rPr>
        <w:drawing>
          <wp:inline distT="0" distB="0" distL="0" distR="0">
            <wp:extent cx="6286500" cy="541020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7D" w:rsidRDefault="00C5167D" w:rsidP="00D15EB0">
      <w:pPr>
        <w:rPr>
          <w:b/>
        </w:rPr>
      </w:pPr>
    </w:p>
    <w:p w:rsidR="00C5167D" w:rsidRDefault="00C5167D" w:rsidP="00D15EB0">
      <w:pPr>
        <w:rPr>
          <w:b/>
        </w:rPr>
      </w:pPr>
    </w:p>
    <w:p w:rsidR="00D46152" w:rsidRPr="00EC3F0F" w:rsidRDefault="00D46152" w:rsidP="00D15EB0"/>
    <w:sectPr w:rsidR="00D46152" w:rsidRPr="00EC3F0F" w:rsidSect="00223A3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40" w:rsidRDefault="00E71540" w:rsidP="003D171D">
      <w:r>
        <w:separator/>
      </w:r>
    </w:p>
  </w:endnote>
  <w:endnote w:type="continuationSeparator" w:id="0">
    <w:p w:rsidR="00E71540" w:rsidRDefault="00E71540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F23E49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F23E49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6F13">
      <w:rPr>
        <w:rStyle w:val="PageNumber"/>
        <w:noProof/>
      </w:rPr>
      <w:t>5</w:t>
    </w:r>
    <w:r>
      <w:rPr>
        <w:rStyle w:val="PageNumber"/>
      </w:rPr>
      <w:fldChar w:fldCharType="end"/>
    </w:r>
  </w:p>
  <w:p w:rsidR="00745B33" w:rsidRDefault="00F76F13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w:pict>
        <v:line id="Line 3" o:spid="_x0000_s4097" style="position:absolute;left:0;text-align:left;z-index:251658752;visibility:visibl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FVBDnCXAgAAgwUAAA4AAAAAAAAAAAAAAAAALgIAAGRycy9lMm9E&#10;b2MueG1sUEsBAi0AFAAGAAgAAAAhAAAhN7XgAAAACwEAAA8AAAAAAAAAAAAAAAAA8QQAAGRycy9k&#10;b3ducmV2LnhtbFBLBQYAAAAABAAEAPMAAAD+BQAAAAA=&#10;" strokecolor="#17365d" strokeweight="1pt">
          <v:fill o:detectmouseclick="t"/>
          <v:shadow opacity="22938f" offset="0"/>
        </v:line>
      </w:pict>
    </w:r>
    <w:r w:rsidR="00DA0A8F">
      <w:rPr>
        <w:rFonts w:ascii="Trebuchet MS" w:hAnsi="Trebuchet MS"/>
        <w:noProof/>
      </w:rPr>
      <w:drawing>
        <wp:inline distT="0" distB="0" distL="0" distR="0">
          <wp:extent cx="2714625" cy="314325"/>
          <wp:effectExtent l="0" t="0" r="9525" b="9525"/>
          <wp:docPr id="3" name="Picture 3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p-logo-horiz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33" w:rsidRPr="004F1393">
      <w:rPr>
        <w:rFonts w:ascii="Trebuchet MS" w:hAnsi="Trebuchet MS"/>
      </w:rPr>
      <w:tab/>
    </w:r>
    <w:r w:rsidR="00745B33">
      <w:rPr>
        <w:rFonts w:ascii="Trebuchet MS" w:hAnsi="Trebuchet MS"/>
      </w:rPr>
      <w:tab/>
    </w:r>
    <w:r w:rsidR="00DA0A8F">
      <w:rPr>
        <w:rFonts w:ascii="Trebuchet MS" w:hAnsi="Trebuchet MS"/>
        <w:noProof/>
      </w:rPr>
      <w:drawing>
        <wp:inline distT="0" distB="0" distL="0" distR="0">
          <wp:extent cx="1143000" cy="371475"/>
          <wp:effectExtent l="0" t="0" r="0" b="9525"/>
          <wp:docPr id="4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40" w:rsidRDefault="00E71540" w:rsidP="003D171D">
      <w:r>
        <w:separator/>
      </w:r>
    </w:p>
  </w:footnote>
  <w:footnote w:type="continuationSeparator" w:id="0">
    <w:p w:rsidR="00E71540" w:rsidRDefault="00E71540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Default="00F23E49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5B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5B33" w:rsidRDefault="00745B33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33" w:rsidRPr="00633683" w:rsidRDefault="00F76F13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9" type="#_x0000_t202" style="position:absolute;left:0;text-align:left;margin-left:3in;margin-top:-9pt;width:315pt;height:6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<v:textbox inset=",7.2pt,,7.2pt">
            <w:txbxContent>
              <w:p w:rsidR="00745B33" w:rsidRPr="002643C9" w:rsidRDefault="00745B33" w:rsidP="002C4B4E">
                <w:r>
                  <w:rPr>
                    <w:b/>
                    <w:bCs/>
                    <w:sz w:val="40"/>
                  </w:rPr>
                  <w:t>High Value Diagnostic Testing and Cancer Screening</w:t>
                </w:r>
              </w:p>
              <w:p w:rsidR="00745B33" w:rsidRPr="002E0F7D" w:rsidRDefault="00745B33" w:rsidP="00C67ADB">
                <w:pPr>
                  <w:spacing w:line="400" w:lineRule="exact"/>
                  <w:rPr>
                    <w:sz w:val="36"/>
                    <w:szCs w:val="36"/>
                  </w:rPr>
                </w:pPr>
              </w:p>
            </w:txbxContent>
          </v:textbox>
        </v:shape>
      </w:pict>
    </w:r>
    <w:r w:rsidR="00DA0A8F">
      <w:rPr>
        <w:b/>
        <w:bCs/>
        <w:noProof/>
        <w:sz w:val="40"/>
      </w:rPr>
      <w:drawing>
        <wp:inline distT="0" distB="0" distL="0" distR="0">
          <wp:extent cx="2324100" cy="466725"/>
          <wp:effectExtent l="0" t="0" r="0" b="9525"/>
          <wp:docPr id="2" name="Picture 2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5B33" w:rsidRPr="00633683" w:rsidRDefault="00745B33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745B33" w:rsidRPr="00633683" w:rsidRDefault="00F76F13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w:pict>
        <v:line id="Line 2" o:spid="_x0000_s4098" style="position:absolute;left:0;text-align:left;z-index:251657728;visibility:visibl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<v:fill o:detectmouseclick="t"/>
          <v:shadow opacity="22938f" offset="0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6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71D"/>
    <w:rsid w:val="000014EB"/>
    <w:rsid w:val="00022A14"/>
    <w:rsid w:val="0002702A"/>
    <w:rsid w:val="0003625E"/>
    <w:rsid w:val="000554C5"/>
    <w:rsid w:val="00056DF8"/>
    <w:rsid w:val="000809B5"/>
    <w:rsid w:val="000A0324"/>
    <w:rsid w:val="000B3572"/>
    <w:rsid w:val="000B6B2B"/>
    <w:rsid w:val="000C066A"/>
    <w:rsid w:val="000D3670"/>
    <w:rsid w:val="000D6EB8"/>
    <w:rsid w:val="000E63F1"/>
    <w:rsid w:val="00102E50"/>
    <w:rsid w:val="00110945"/>
    <w:rsid w:val="00113F48"/>
    <w:rsid w:val="001305AD"/>
    <w:rsid w:val="00143F65"/>
    <w:rsid w:val="00182356"/>
    <w:rsid w:val="00182BE8"/>
    <w:rsid w:val="001940CB"/>
    <w:rsid w:val="00197975"/>
    <w:rsid w:val="001A06D4"/>
    <w:rsid w:val="001A1139"/>
    <w:rsid w:val="001A6C5E"/>
    <w:rsid w:val="001A7409"/>
    <w:rsid w:val="001D6DDD"/>
    <w:rsid w:val="001E6B75"/>
    <w:rsid w:val="001E6E90"/>
    <w:rsid w:val="001F794F"/>
    <w:rsid w:val="00203043"/>
    <w:rsid w:val="00223A35"/>
    <w:rsid w:val="00240DEE"/>
    <w:rsid w:val="0025030D"/>
    <w:rsid w:val="00253968"/>
    <w:rsid w:val="00263209"/>
    <w:rsid w:val="00263717"/>
    <w:rsid w:val="00272D15"/>
    <w:rsid w:val="00295FC4"/>
    <w:rsid w:val="002A47E8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5518F"/>
    <w:rsid w:val="00380E68"/>
    <w:rsid w:val="003874E2"/>
    <w:rsid w:val="003A783B"/>
    <w:rsid w:val="003D171D"/>
    <w:rsid w:val="003D4A37"/>
    <w:rsid w:val="003E062B"/>
    <w:rsid w:val="003E6163"/>
    <w:rsid w:val="003F2A0E"/>
    <w:rsid w:val="00400E1E"/>
    <w:rsid w:val="004036C9"/>
    <w:rsid w:val="0041722A"/>
    <w:rsid w:val="004303E1"/>
    <w:rsid w:val="00441298"/>
    <w:rsid w:val="00445E69"/>
    <w:rsid w:val="004530C9"/>
    <w:rsid w:val="00453258"/>
    <w:rsid w:val="00463CED"/>
    <w:rsid w:val="00467DFA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36F8E"/>
    <w:rsid w:val="00540372"/>
    <w:rsid w:val="00543C4B"/>
    <w:rsid w:val="00544417"/>
    <w:rsid w:val="0054783D"/>
    <w:rsid w:val="005A09B6"/>
    <w:rsid w:val="005C2A6F"/>
    <w:rsid w:val="005C65F6"/>
    <w:rsid w:val="005F208F"/>
    <w:rsid w:val="005F43DB"/>
    <w:rsid w:val="00633683"/>
    <w:rsid w:val="00664EEE"/>
    <w:rsid w:val="00677790"/>
    <w:rsid w:val="006A5DA0"/>
    <w:rsid w:val="006B047F"/>
    <w:rsid w:val="006B5236"/>
    <w:rsid w:val="006D06BF"/>
    <w:rsid w:val="006D3E66"/>
    <w:rsid w:val="006D7F6D"/>
    <w:rsid w:val="006F20BE"/>
    <w:rsid w:val="006F76BE"/>
    <w:rsid w:val="007430EF"/>
    <w:rsid w:val="00745B33"/>
    <w:rsid w:val="007463A8"/>
    <w:rsid w:val="00747F20"/>
    <w:rsid w:val="00750990"/>
    <w:rsid w:val="0075136D"/>
    <w:rsid w:val="007915B7"/>
    <w:rsid w:val="007A35C2"/>
    <w:rsid w:val="007A7BB6"/>
    <w:rsid w:val="007D21E0"/>
    <w:rsid w:val="007D6EEA"/>
    <w:rsid w:val="007E5CF1"/>
    <w:rsid w:val="007F4220"/>
    <w:rsid w:val="008309FD"/>
    <w:rsid w:val="008320C5"/>
    <w:rsid w:val="00835457"/>
    <w:rsid w:val="00842E87"/>
    <w:rsid w:val="00846801"/>
    <w:rsid w:val="00851332"/>
    <w:rsid w:val="0085463D"/>
    <w:rsid w:val="008761D7"/>
    <w:rsid w:val="00880AE6"/>
    <w:rsid w:val="008856CF"/>
    <w:rsid w:val="008A07F8"/>
    <w:rsid w:val="008B2B32"/>
    <w:rsid w:val="008C7124"/>
    <w:rsid w:val="008D3E05"/>
    <w:rsid w:val="008F3AD5"/>
    <w:rsid w:val="00946EDF"/>
    <w:rsid w:val="00953E2C"/>
    <w:rsid w:val="00963E92"/>
    <w:rsid w:val="00972A15"/>
    <w:rsid w:val="0098185A"/>
    <w:rsid w:val="00987888"/>
    <w:rsid w:val="009B5ABF"/>
    <w:rsid w:val="009C3DAE"/>
    <w:rsid w:val="009D695A"/>
    <w:rsid w:val="009E0B07"/>
    <w:rsid w:val="009E329D"/>
    <w:rsid w:val="00A010E7"/>
    <w:rsid w:val="00A02B3D"/>
    <w:rsid w:val="00A11C72"/>
    <w:rsid w:val="00A2157C"/>
    <w:rsid w:val="00A31642"/>
    <w:rsid w:val="00A35E5F"/>
    <w:rsid w:val="00A66275"/>
    <w:rsid w:val="00A774CF"/>
    <w:rsid w:val="00A820D0"/>
    <w:rsid w:val="00A85A08"/>
    <w:rsid w:val="00A90E14"/>
    <w:rsid w:val="00AB5002"/>
    <w:rsid w:val="00AC7706"/>
    <w:rsid w:val="00AD19FA"/>
    <w:rsid w:val="00AE77BE"/>
    <w:rsid w:val="00B332B9"/>
    <w:rsid w:val="00B5510D"/>
    <w:rsid w:val="00B56772"/>
    <w:rsid w:val="00B7510C"/>
    <w:rsid w:val="00B83D03"/>
    <w:rsid w:val="00B96AD9"/>
    <w:rsid w:val="00BB382B"/>
    <w:rsid w:val="00C07FCE"/>
    <w:rsid w:val="00C16F32"/>
    <w:rsid w:val="00C2138E"/>
    <w:rsid w:val="00C24947"/>
    <w:rsid w:val="00C36A98"/>
    <w:rsid w:val="00C3756F"/>
    <w:rsid w:val="00C46543"/>
    <w:rsid w:val="00C5167D"/>
    <w:rsid w:val="00C6743B"/>
    <w:rsid w:val="00C67ADB"/>
    <w:rsid w:val="00CA0FAB"/>
    <w:rsid w:val="00CB7B69"/>
    <w:rsid w:val="00CC4F45"/>
    <w:rsid w:val="00CD79C1"/>
    <w:rsid w:val="00CE11C1"/>
    <w:rsid w:val="00CF0AE6"/>
    <w:rsid w:val="00D0488F"/>
    <w:rsid w:val="00D15EB0"/>
    <w:rsid w:val="00D21705"/>
    <w:rsid w:val="00D36AF5"/>
    <w:rsid w:val="00D46152"/>
    <w:rsid w:val="00D51C32"/>
    <w:rsid w:val="00D95052"/>
    <w:rsid w:val="00DA0A8F"/>
    <w:rsid w:val="00DB6FAD"/>
    <w:rsid w:val="00DC54CB"/>
    <w:rsid w:val="00DF3F08"/>
    <w:rsid w:val="00E272B9"/>
    <w:rsid w:val="00E50803"/>
    <w:rsid w:val="00E531BE"/>
    <w:rsid w:val="00E71540"/>
    <w:rsid w:val="00E7605D"/>
    <w:rsid w:val="00E90E08"/>
    <w:rsid w:val="00EA1B90"/>
    <w:rsid w:val="00EA4732"/>
    <w:rsid w:val="00EC3F0F"/>
    <w:rsid w:val="00F00B41"/>
    <w:rsid w:val="00F0451C"/>
    <w:rsid w:val="00F23E49"/>
    <w:rsid w:val="00F25328"/>
    <w:rsid w:val="00F34804"/>
    <w:rsid w:val="00F41C3A"/>
    <w:rsid w:val="00F461D1"/>
    <w:rsid w:val="00F74014"/>
    <w:rsid w:val="00F76F13"/>
    <w:rsid w:val="00F8293F"/>
    <w:rsid w:val="00F872A5"/>
    <w:rsid w:val="00F97379"/>
    <w:rsid w:val="00FC2F23"/>
    <w:rsid w:val="00FC6829"/>
    <w:rsid w:val="00FD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</w:rPr>
  </w:style>
  <w:style w:type="paragraph" w:customStyle="1" w:styleId="ColHdL7">
    <w:name w:val="ColHdL7"/>
    <w:basedOn w:val="ColHdL2"/>
    <w:qFormat/>
    <w:rsid w:val="002C4B4E"/>
    <w:rPr>
      <w:shadow/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6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99"/>
    <w:rsid w:val="001A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  <w:rPr>
      <w:shadow/>
      <w14:shadow w14:blurRad="0" w14:dist="0" w14:dir="0" w14:sx="0" w14:sy="0" w14:kx="0" w14:ky="0" w14:algn="none">
        <w14:srgbClr w14:val="000000"/>
      </w14:shadow>
    </w:rPr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8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01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6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Daisys</cp:lastModifiedBy>
  <cp:revision>8</cp:revision>
  <cp:lastPrinted>2014-05-28T14:22:00Z</cp:lastPrinted>
  <dcterms:created xsi:type="dcterms:W3CDTF">2015-12-17T18:29:00Z</dcterms:created>
  <dcterms:modified xsi:type="dcterms:W3CDTF">2015-12-31T18:59:00Z</dcterms:modified>
</cp:coreProperties>
</file>