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C55" w:rsidRPr="00F44C55" w:rsidRDefault="00F44C55" w:rsidP="00F44C55">
      <w:pPr>
        <w:rPr>
          <w:b/>
          <w:sz w:val="28"/>
          <w:szCs w:val="28"/>
        </w:rPr>
      </w:pPr>
      <w:r w:rsidRPr="00F44C55">
        <w:rPr>
          <w:b/>
          <w:sz w:val="28"/>
          <w:szCs w:val="28"/>
        </w:rPr>
        <w:t>Facilitator</w:t>
      </w:r>
      <w:r w:rsidR="002D7A7F">
        <w:rPr>
          <w:b/>
          <w:sz w:val="28"/>
          <w:szCs w:val="28"/>
        </w:rPr>
        <w:t>'</w:t>
      </w:r>
      <w:r w:rsidRPr="00F44C55">
        <w:rPr>
          <w:b/>
          <w:sz w:val="28"/>
          <w:szCs w:val="28"/>
        </w:rPr>
        <w:t>s Guide</w:t>
      </w:r>
    </w:p>
    <w:p w:rsidR="002D7A7F" w:rsidRDefault="002D7A7F" w:rsidP="00F44C55">
      <w:pPr>
        <w:rPr>
          <w:b/>
        </w:rPr>
      </w:pPr>
    </w:p>
    <w:p w:rsidR="00F44C55" w:rsidRDefault="00F44C55" w:rsidP="00F44C55">
      <w:r w:rsidRPr="00F44C55">
        <w:rPr>
          <w:b/>
        </w:rPr>
        <w:t>Description</w:t>
      </w:r>
      <w:r w:rsidRPr="00F44C55">
        <w:t xml:space="preserve">: This guide is intended to help the faculty deliver this 60-minute discussion on </w:t>
      </w:r>
      <w:r w:rsidR="002645CA">
        <w:t xml:space="preserve">high value </w:t>
      </w:r>
      <w:r w:rsidR="001B7D00">
        <w:t>medication prescribing</w:t>
      </w:r>
      <w:r w:rsidR="002645CA">
        <w:t xml:space="preserve">. This is the </w:t>
      </w:r>
      <w:r w:rsidR="001B7D00">
        <w:t xml:space="preserve">fourth </w:t>
      </w:r>
      <w:r w:rsidRPr="00F44C55">
        <w:t xml:space="preserve">in a </w:t>
      </w:r>
      <w:r w:rsidR="002645CA">
        <w:t>series of seven</w:t>
      </w:r>
      <w:r w:rsidRPr="00F44C55">
        <w:t xml:space="preserve"> sessions.</w:t>
      </w:r>
    </w:p>
    <w:p w:rsidR="002D7A7F" w:rsidRPr="00F44C55" w:rsidRDefault="002D7A7F" w:rsidP="00F44C55"/>
    <w:p w:rsidR="00F44C55" w:rsidRPr="00F44C55" w:rsidRDefault="00F44C55" w:rsidP="00F44C55">
      <w:r w:rsidRPr="00F44C55">
        <w:rPr>
          <w:b/>
        </w:rPr>
        <w:t>Learning Objectives</w:t>
      </w:r>
      <w:r w:rsidRPr="00F44C55">
        <w:t>:</w:t>
      </w:r>
    </w:p>
    <w:p w:rsidR="006B00C0" w:rsidRPr="006B00C0" w:rsidRDefault="006B00C0" w:rsidP="006B00C0">
      <w:pPr>
        <w:pStyle w:val="ListParagraph"/>
        <w:numPr>
          <w:ilvl w:val="0"/>
          <w:numId w:val="28"/>
        </w:numPr>
        <w:rPr>
          <w:rFonts w:eastAsia="MS Mincho"/>
          <w:color w:val="000000"/>
          <w:kern w:val="24"/>
        </w:rPr>
      </w:pPr>
      <w:r w:rsidRPr="006B00C0">
        <w:rPr>
          <w:rFonts w:eastAsia="MS Mincho"/>
          <w:color w:val="000000"/>
          <w:kern w:val="24"/>
        </w:rPr>
        <w:t>Compare efficacy and costs of commonly prescribed medications including generic (and biosimilar) versus non-generic medications</w:t>
      </w:r>
      <w:r>
        <w:rPr>
          <w:rFonts w:eastAsia="MS Mincho"/>
          <w:color w:val="000000"/>
          <w:kern w:val="24"/>
        </w:rPr>
        <w:t>.</w:t>
      </w:r>
    </w:p>
    <w:p w:rsidR="006B00C0" w:rsidRPr="006B00C0" w:rsidRDefault="006B00C0" w:rsidP="006B00C0">
      <w:pPr>
        <w:pStyle w:val="ListParagraph"/>
        <w:numPr>
          <w:ilvl w:val="0"/>
          <w:numId w:val="28"/>
        </w:numPr>
        <w:rPr>
          <w:rFonts w:eastAsia="MS Mincho"/>
          <w:color w:val="000000"/>
          <w:kern w:val="24"/>
        </w:rPr>
      </w:pPr>
      <w:r w:rsidRPr="006B00C0">
        <w:rPr>
          <w:rFonts w:eastAsia="MS Mincho"/>
          <w:color w:val="000000"/>
          <w:kern w:val="24"/>
        </w:rPr>
        <w:t>Identify medication cost as an important barrier to adherence</w:t>
      </w:r>
      <w:r>
        <w:rPr>
          <w:rFonts w:eastAsia="MS Mincho"/>
          <w:color w:val="000000"/>
          <w:kern w:val="24"/>
        </w:rPr>
        <w:t>.</w:t>
      </w:r>
    </w:p>
    <w:p w:rsidR="006B00C0" w:rsidRPr="006B00C0" w:rsidRDefault="006B00C0" w:rsidP="006B00C0">
      <w:pPr>
        <w:pStyle w:val="ListParagraph"/>
        <w:numPr>
          <w:ilvl w:val="0"/>
          <w:numId w:val="28"/>
        </w:numPr>
        <w:rPr>
          <w:rFonts w:eastAsia="MS Mincho"/>
          <w:color w:val="000000"/>
          <w:kern w:val="24"/>
        </w:rPr>
      </w:pPr>
      <w:r w:rsidRPr="006B00C0">
        <w:rPr>
          <w:rFonts w:eastAsia="MS Mincho"/>
          <w:color w:val="000000"/>
          <w:kern w:val="24"/>
        </w:rPr>
        <w:t>Recognize the importance of simplifying medication regimens to imp</w:t>
      </w:r>
      <w:r w:rsidR="002D7A7F">
        <w:rPr>
          <w:rFonts w:eastAsia="MS Mincho"/>
          <w:color w:val="000000"/>
          <w:kern w:val="24"/>
        </w:rPr>
        <w:t>rove patient outcomes (stop non</w:t>
      </w:r>
      <w:r w:rsidRPr="006B00C0">
        <w:rPr>
          <w:rFonts w:eastAsia="MS Mincho"/>
          <w:color w:val="000000"/>
          <w:kern w:val="24"/>
        </w:rPr>
        <w:t xml:space="preserve">essential medications and de-escalate therapy when indicated and </w:t>
      </w:r>
      <w:r w:rsidR="002D7A7F">
        <w:rPr>
          <w:rFonts w:eastAsia="MS Mincho"/>
          <w:color w:val="000000"/>
          <w:kern w:val="24"/>
        </w:rPr>
        <w:t xml:space="preserve">when </w:t>
      </w:r>
      <w:r w:rsidRPr="006B00C0">
        <w:rPr>
          <w:rFonts w:eastAsia="MS Mincho"/>
          <w:color w:val="000000"/>
          <w:kern w:val="24"/>
        </w:rPr>
        <w:t>possible)</w:t>
      </w:r>
      <w:r>
        <w:rPr>
          <w:rFonts w:eastAsia="MS Mincho"/>
          <w:color w:val="000000"/>
          <w:kern w:val="24"/>
        </w:rPr>
        <w:t>.</w:t>
      </w:r>
    </w:p>
    <w:p w:rsidR="006B00C0" w:rsidRPr="006B00C0" w:rsidRDefault="006B00C0" w:rsidP="006B00C0">
      <w:pPr>
        <w:pStyle w:val="ListParagraph"/>
        <w:numPr>
          <w:ilvl w:val="0"/>
          <w:numId w:val="28"/>
        </w:numPr>
        <w:rPr>
          <w:rFonts w:eastAsia="MS Mincho"/>
          <w:color w:val="000000"/>
          <w:kern w:val="24"/>
        </w:rPr>
      </w:pPr>
      <w:r w:rsidRPr="006B00C0">
        <w:rPr>
          <w:rFonts w:eastAsia="MS Mincho"/>
          <w:color w:val="000000"/>
          <w:kern w:val="24"/>
        </w:rPr>
        <w:t>Describe medication prior authorization process and list implication</w:t>
      </w:r>
      <w:r w:rsidR="002D7A7F">
        <w:rPr>
          <w:rFonts w:eastAsia="MS Mincho"/>
          <w:color w:val="000000"/>
          <w:kern w:val="24"/>
        </w:rPr>
        <w:t>s</w:t>
      </w:r>
      <w:r>
        <w:rPr>
          <w:rFonts w:eastAsia="MS Mincho"/>
          <w:color w:val="000000"/>
          <w:kern w:val="24"/>
        </w:rPr>
        <w:t>.</w:t>
      </w:r>
    </w:p>
    <w:p w:rsidR="006B00C0" w:rsidRPr="006B00C0" w:rsidRDefault="006B00C0" w:rsidP="006B00C0">
      <w:pPr>
        <w:pStyle w:val="ListParagraph"/>
        <w:numPr>
          <w:ilvl w:val="0"/>
          <w:numId w:val="28"/>
        </w:numPr>
        <w:rPr>
          <w:rFonts w:eastAsia="MS Mincho"/>
          <w:color w:val="000000"/>
          <w:kern w:val="24"/>
        </w:rPr>
      </w:pPr>
      <w:r w:rsidRPr="006B00C0">
        <w:rPr>
          <w:rFonts w:eastAsia="MS Mincho"/>
          <w:color w:val="000000"/>
          <w:kern w:val="24"/>
        </w:rPr>
        <w:t>Facilitate effective physician-patient discussions about patients’ out-of-pocket costs</w:t>
      </w:r>
      <w:r>
        <w:rPr>
          <w:rFonts w:eastAsia="MS Mincho"/>
          <w:color w:val="000000"/>
          <w:kern w:val="24"/>
        </w:rPr>
        <w:t>.</w:t>
      </w:r>
    </w:p>
    <w:p w:rsidR="006B00C0" w:rsidRPr="006B00C0" w:rsidRDefault="006B00C0" w:rsidP="006B00C0">
      <w:pPr>
        <w:pStyle w:val="ListParagraph"/>
        <w:numPr>
          <w:ilvl w:val="0"/>
          <w:numId w:val="28"/>
        </w:numPr>
      </w:pPr>
      <w:r w:rsidRPr="006B00C0">
        <w:rPr>
          <w:rFonts w:eastAsia="MS Mincho"/>
          <w:color w:val="000000"/>
          <w:kern w:val="24"/>
        </w:rPr>
        <w:t>Identify resources to assist patients with out-of-pocket mediation costs and adherence</w:t>
      </w:r>
      <w:r>
        <w:rPr>
          <w:rFonts w:eastAsia="MS Mincho"/>
          <w:color w:val="000000"/>
          <w:kern w:val="24"/>
        </w:rPr>
        <w:t>.</w:t>
      </w:r>
    </w:p>
    <w:p w:rsidR="006B00C0" w:rsidRPr="006B00C0" w:rsidRDefault="006B00C0" w:rsidP="006B00C0">
      <w:pPr>
        <w:pStyle w:val="ListParagraph"/>
      </w:pPr>
    </w:p>
    <w:p w:rsidR="00F44C55" w:rsidRDefault="006B00C0" w:rsidP="006B00C0">
      <w:r w:rsidRPr="006B00C0">
        <w:rPr>
          <w:b/>
        </w:rPr>
        <w:t xml:space="preserve">Audience and </w:t>
      </w:r>
      <w:r w:rsidR="00F44C55" w:rsidRPr="006B00C0">
        <w:rPr>
          <w:b/>
        </w:rPr>
        <w:t xml:space="preserve">Setting: </w:t>
      </w:r>
      <w:r w:rsidR="00F44C55" w:rsidRPr="00F44C55">
        <w:t xml:space="preserve">The intended audience for this module is Internal Medicine </w:t>
      </w:r>
      <w:r w:rsidR="002D5B24">
        <w:t>subspecialty fellows</w:t>
      </w:r>
      <w:r w:rsidR="00F44C55" w:rsidRPr="00F44C55">
        <w:t>. A large group setting with time and space for small group work within the session is best.</w:t>
      </w:r>
    </w:p>
    <w:p w:rsidR="002D7A7F" w:rsidRPr="00F44C55" w:rsidRDefault="002D7A7F" w:rsidP="006B00C0"/>
    <w:p w:rsidR="00F44C55" w:rsidRDefault="00F44C55" w:rsidP="00F44C55">
      <w:r w:rsidRPr="00F44C55">
        <w:rPr>
          <w:b/>
        </w:rPr>
        <w:t>Equipment Required</w:t>
      </w:r>
      <w:r w:rsidRPr="00F44C55">
        <w:t xml:space="preserve">: A computer with projector for </w:t>
      </w:r>
      <w:r w:rsidR="002D7A7F">
        <w:t xml:space="preserve">the </w:t>
      </w:r>
      <w:r w:rsidRPr="00F44C55">
        <w:t xml:space="preserve">PowerPoint presentation, a white board or flip chart for recording group work, an </w:t>
      </w:r>
      <w:r w:rsidR="009A2C3D">
        <w:t>I</w:t>
      </w:r>
      <w:r w:rsidRPr="00F44C55">
        <w:t xml:space="preserve">nternet connection </w:t>
      </w:r>
      <w:r w:rsidR="002D5B24">
        <w:t>(and computer, laptop</w:t>
      </w:r>
      <w:r w:rsidR="002D7A7F">
        <w:t>,</w:t>
      </w:r>
      <w:r w:rsidR="002D5B24">
        <w:t xml:space="preserve"> or other device to connect to </w:t>
      </w:r>
      <w:r w:rsidR="009A2C3D">
        <w:t>the I</w:t>
      </w:r>
      <w:r w:rsidR="002D5B24">
        <w:t xml:space="preserve">nternet) </w:t>
      </w:r>
      <w:r w:rsidR="009A2C3D">
        <w:t>to facilitate participants'</w:t>
      </w:r>
      <w:r w:rsidRPr="00F44C55">
        <w:t xml:space="preserve"> </w:t>
      </w:r>
      <w:r w:rsidR="009A2C3D">
        <w:t>database searches</w:t>
      </w:r>
      <w:r w:rsidRPr="00F44C55">
        <w:t xml:space="preserve"> for costs of medication.</w:t>
      </w:r>
    </w:p>
    <w:p w:rsidR="009A2C3D" w:rsidRPr="00F44C55" w:rsidRDefault="009A2C3D" w:rsidP="00F44C55"/>
    <w:p w:rsidR="009A2C3D" w:rsidRDefault="00F44C55" w:rsidP="00F44C55">
      <w:r w:rsidRPr="00F44C55">
        <w:rPr>
          <w:b/>
        </w:rPr>
        <w:t>Optional</w:t>
      </w:r>
      <w:r w:rsidRPr="00F44C55">
        <w:t xml:space="preserve">: </w:t>
      </w:r>
    </w:p>
    <w:p w:rsidR="009A2C3D" w:rsidRDefault="009A2C3D" w:rsidP="009A2C3D">
      <w:pPr>
        <w:pStyle w:val="ListParagraph"/>
        <w:numPr>
          <w:ilvl w:val="0"/>
          <w:numId w:val="29"/>
        </w:numPr>
      </w:pPr>
      <w:r>
        <w:t>A c</w:t>
      </w:r>
      <w:r w:rsidR="00F44C55" w:rsidRPr="00F44C55">
        <w:t>linical pharmacist to help facilitate this session and answer questions</w:t>
      </w:r>
      <w:r>
        <w:t>.</w:t>
      </w:r>
    </w:p>
    <w:p w:rsidR="009A2C3D" w:rsidRDefault="009A2C3D" w:rsidP="009A2C3D">
      <w:pPr>
        <w:pStyle w:val="ListParagraph"/>
        <w:numPr>
          <w:ilvl w:val="0"/>
          <w:numId w:val="29"/>
        </w:numPr>
      </w:pPr>
      <w:r>
        <w:t>S</w:t>
      </w:r>
      <w:r w:rsidR="00F44C55" w:rsidRPr="00F44C55">
        <w:t xml:space="preserve">mall prize </w:t>
      </w:r>
      <w:r>
        <w:t xml:space="preserve">drawing </w:t>
      </w:r>
      <w:r w:rsidR="00F44C55" w:rsidRPr="00F44C55">
        <w:t>for the winning team (candy is fine)</w:t>
      </w:r>
      <w:r>
        <w:t>.</w:t>
      </w:r>
    </w:p>
    <w:p w:rsidR="00F44C55" w:rsidRDefault="00F44C55" w:rsidP="009A2C3D">
      <w:pPr>
        <w:pStyle w:val="ListParagraph"/>
        <w:numPr>
          <w:ilvl w:val="0"/>
          <w:numId w:val="29"/>
        </w:numPr>
      </w:pPr>
      <w:r w:rsidRPr="00F44C55">
        <w:t xml:space="preserve">Print copies of </w:t>
      </w:r>
      <w:r w:rsidR="009A2C3D">
        <w:t>the Patient Medication Resource Guide</w:t>
      </w:r>
      <w:r w:rsidRPr="00F44C55">
        <w:t xml:space="preserve"> for participants</w:t>
      </w:r>
      <w:r w:rsidR="009A2C3D">
        <w:t>.</w:t>
      </w:r>
    </w:p>
    <w:p w:rsidR="009A2C3D" w:rsidRPr="00F44C55" w:rsidRDefault="009A2C3D" w:rsidP="009A2C3D"/>
    <w:p w:rsidR="00F44C55" w:rsidRPr="00F44C55" w:rsidRDefault="00F44C55" w:rsidP="00F44C55">
      <w:pPr>
        <w:rPr>
          <w:b/>
        </w:rPr>
      </w:pPr>
      <w:r w:rsidRPr="00F44C55">
        <w:rPr>
          <w:b/>
        </w:rPr>
        <w:t>References:</w:t>
      </w:r>
    </w:p>
    <w:p w:rsidR="00F44C55" w:rsidRPr="00F44C55" w:rsidRDefault="00F44C55" w:rsidP="00F44C55"/>
    <w:p w:rsidR="00C6520C" w:rsidRDefault="00C6520C" w:rsidP="00F44C55">
      <w:pPr>
        <w:pStyle w:val="ListParagraph"/>
        <w:numPr>
          <w:ilvl w:val="0"/>
          <w:numId w:val="17"/>
        </w:numPr>
      </w:pPr>
      <w:proofErr w:type="spellStart"/>
      <w:r>
        <w:t>Kornfield</w:t>
      </w:r>
      <w:proofErr w:type="spellEnd"/>
      <w:r>
        <w:t xml:space="preserve"> R, et al. Promotion of prescription drugs to consumers and providers, 2001-2010. </w:t>
      </w:r>
      <w:proofErr w:type="spellStart"/>
      <w:r>
        <w:t>PLoS</w:t>
      </w:r>
      <w:proofErr w:type="spellEnd"/>
      <w:r>
        <w:t xml:space="preserve"> One. 2013;8(3):e</w:t>
      </w:r>
      <w:r w:rsidR="009A2C3D">
        <w:t>55504</w:t>
      </w:r>
      <w:r>
        <w:t>.</w:t>
      </w:r>
    </w:p>
    <w:p w:rsidR="00C6520C" w:rsidRDefault="00C6520C" w:rsidP="00F44C55">
      <w:pPr>
        <w:pStyle w:val="ListParagraph"/>
        <w:numPr>
          <w:ilvl w:val="0"/>
          <w:numId w:val="17"/>
        </w:numPr>
      </w:pPr>
      <w:proofErr w:type="spellStart"/>
      <w:r>
        <w:t>Sierles</w:t>
      </w:r>
      <w:proofErr w:type="spellEnd"/>
      <w:r>
        <w:t xml:space="preserve"> FS, et al. Changes in medica</w:t>
      </w:r>
      <w:r w:rsidR="00CB6F6B">
        <w:t>l stude</w:t>
      </w:r>
      <w:r>
        <w:t>n</w:t>
      </w:r>
      <w:r w:rsidR="00CB6F6B">
        <w:t>t</w:t>
      </w:r>
      <w:r>
        <w:t>s’ exposure to attitude</w:t>
      </w:r>
      <w:r w:rsidR="00CB6F6B">
        <w:t>s</w:t>
      </w:r>
      <w:r>
        <w:t xml:space="preserve"> abo</w:t>
      </w:r>
      <w:r w:rsidR="00CB6F6B">
        <w:t>ut drug company interactions fro</w:t>
      </w:r>
      <w:r>
        <w:t xml:space="preserve">m 2003 to 2012: a multi-institutional follow-up survey. </w:t>
      </w:r>
      <w:proofErr w:type="spellStart"/>
      <w:r>
        <w:t>Acad</w:t>
      </w:r>
      <w:proofErr w:type="spellEnd"/>
      <w:r>
        <w:t xml:space="preserve"> Med. 2015 Aug;90(8):1137-46</w:t>
      </w:r>
      <w:r w:rsidR="00CB6F6B">
        <w:t>.</w:t>
      </w:r>
    </w:p>
    <w:p w:rsidR="00C6520C" w:rsidRDefault="00C6520C" w:rsidP="00F44C55">
      <w:pPr>
        <w:pStyle w:val="ListParagraph"/>
        <w:numPr>
          <w:ilvl w:val="0"/>
          <w:numId w:val="17"/>
        </w:numPr>
      </w:pPr>
      <w:proofErr w:type="spellStart"/>
      <w:r w:rsidRPr="00CB6F6B">
        <w:t>Steinbrook</w:t>
      </w:r>
      <w:proofErr w:type="spellEnd"/>
      <w:r w:rsidRPr="00CB6F6B">
        <w:t xml:space="preserve"> R.</w:t>
      </w:r>
      <w:r w:rsidR="00CB6F6B" w:rsidRPr="00CB6F6B">
        <w:t xml:space="preserve"> </w:t>
      </w:r>
      <w:r w:rsidR="00CB6F6B">
        <w:rPr>
          <w:rFonts w:eastAsia="MS Mincho"/>
          <w:color w:val="000000"/>
          <w:kern w:val="24"/>
        </w:rPr>
        <w:t>Future directions in industry funding of continuing medical e</w:t>
      </w:r>
      <w:r w:rsidR="00CB6F6B" w:rsidRPr="00CB6F6B">
        <w:rPr>
          <w:rFonts w:eastAsia="MS Mincho"/>
          <w:color w:val="000000"/>
          <w:kern w:val="24"/>
        </w:rPr>
        <w:t xml:space="preserve">ducation. </w:t>
      </w:r>
      <w:r w:rsidRPr="00CB6F6B">
        <w:t>Arch Intern Med. 2011</w:t>
      </w:r>
      <w:r w:rsidR="009A2C3D">
        <w:t xml:space="preserve"> Feb 14</w:t>
      </w:r>
      <w:r w:rsidRPr="00CB6F6B">
        <w:t>;171(3):257-8</w:t>
      </w:r>
      <w:r>
        <w:t>.</w:t>
      </w:r>
    </w:p>
    <w:p w:rsidR="00C6520C" w:rsidRPr="00CB6F6B" w:rsidRDefault="00C6520C" w:rsidP="00F44C55">
      <w:pPr>
        <w:pStyle w:val="ListParagraph"/>
        <w:numPr>
          <w:ilvl w:val="0"/>
          <w:numId w:val="17"/>
        </w:numPr>
      </w:pPr>
      <w:r w:rsidRPr="00CB6F6B">
        <w:t>Accreditation Council for Continuing Medical Education. ACCME</w:t>
      </w:r>
      <w:r w:rsidR="00CB6F6B" w:rsidRPr="00CB6F6B">
        <w:rPr>
          <w:rFonts w:eastAsia="MS Mincho"/>
          <w:color w:val="000000"/>
          <w:kern w:val="24"/>
        </w:rPr>
        <w:t>®</w:t>
      </w:r>
      <w:r w:rsidRPr="00CB6F6B">
        <w:t xml:space="preserve"> 2011 annual report data.</w:t>
      </w:r>
      <w:r w:rsidR="00CB6F6B" w:rsidRPr="00CB6F6B">
        <w:t xml:space="preserve"> </w:t>
      </w:r>
      <w:hyperlink r:id="rId8" w:history="1">
        <w:r w:rsidR="00BA5876" w:rsidRPr="006E0646">
          <w:rPr>
            <w:rStyle w:val="Hyperlink"/>
          </w:rPr>
          <w:t>http://www.accme.org/sites/default/files/630_2011_Annual_Report_20130807.pdf</w:t>
        </w:r>
      </w:hyperlink>
      <w:r w:rsidR="00BA5876">
        <w:t xml:space="preserve">. </w:t>
      </w:r>
      <w:r w:rsidR="00CB6F6B" w:rsidRPr="00CB6F6B">
        <w:rPr>
          <w:rFonts w:eastAsia="MS Mincho"/>
          <w:color w:val="000000"/>
          <w:kern w:val="24"/>
        </w:rPr>
        <w:t xml:space="preserve">Last accessed </w:t>
      </w:r>
      <w:r w:rsidR="00705923">
        <w:rPr>
          <w:rFonts w:eastAsia="MS Mincho"/>
          <w:color w:val="000000"/>
          <w:kern w:val="24"/>
        </w:rPr>
        <w:t>March 16, 2016</w:t>
      </w:r>
      <w:r w:rsidR="00CB6F6B" w:rsidRPr="00CB6F6B">
        <w:rPr>
          <w:rFonts w:eastAsia="MS Mincho"/>
          <w:color w:val="000000"/>
          <w:kern w:val="24"/>
        </w:rPr>
        <w:t>.</w:t>
      </w:r>
    </w:p>
    <w:p w:rsidR="00F44C55" w:rsidRPr="00F44C55" w:rsidRDefault="00F44C55" w:rsidP="00F44C55">
      <w:pPr>
        <w:pStyle w:val="ListParagraph"/>
        <w:numPr>
          <w:ilvl w:val="0"/>
          <w:numId w:val="17"/>
        </w:numPr>
      </w:pPr>
      <w:r w:rsidRPr="00F44C55">
        <w:t>Shrank WH</w:t>
      </w:r>
      <w:r w:rsidRPr="00F44C55">
        <w:rPr>
          <w:b/>
          <w:bCs/>
        </w:rPr>
        <w:t xml:space="preserve">, </w:t>
      </w:r>
      <w:r w:rsidRPr="00F44C55">
        <w:t>et al. The implications of choice: prescribing generic or preferred pharmaceuticals improves medication adherence for chronic conditions. Arch Intern Med. 2006</w:t>
      </w:r>
      <w:r w:rsidR="00705923">
        <w:t xml:space="preserve"> Feb 13</w:t>
      </w:r>
      <w:r w:rsidRPr="00F44C55">
        <w:t>;166</w:t>
      </w:r>
      <w:r w:rsidR="00705923">
        <w:t>(3)</w:t>
      </w:r>
      <w:r w:rsidRPr="00F44C55">
        <w:t>:332-7</w:t>
      </w:r>
      <w:r w:rsidR="00705923">
        <w:t>.</w:t>
      </w:r>
    </w:p>
    <w:p w:rsidR="00F44C55" w:rsidRPr="00F44C55" w:rsidRDefault="00F44C55" w:rsidP="00F44C55">
      <w:pPr>
        <w:pStyle w:val="ListParagraph"/>
        <w:numPr>
          <w:ilvl w:val="0"/>
          <w:numId w:val="17"/>
        </w:numPr>
        <w:spacing w:after="120"/>
        <w:rPr>
          <w:rFonts w:cs="Arial"/>
        </w:rPr>
      </w:pPr>
      <w:r w:rsidRPr="00F44C55">
        <w:t>Fischer MA, et al. Economic implications of evidence-based prescribing for hypertension: can better care cost less? JAMA. 2004 Apr</w:t>
      </w:r>
      <w:r w:rsidR="00705923">
        <w:t xml:space="preserve"> 21</w:t>
      </w:r>
      <w:r w:rsidRPr="00F44C55">
        <w:t>;291(15):1850-6.</w:t>
      </w:r>
      <w:r w:rsidRPr="00F44C55">
        <w:rPr>
          <w:rFonts w:cs="Arial"/>
        </w:rPr>
        <w:tab/>
      </w:r>
    </w:p>
    <w:p w:rsidR="00F44C55" w:rsidRPr="002D5B24" w:rsidRDefault="00F44C55" w:rsidP="00F44C55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120"/>
        <w:rPr>
          <w:rFonts w:cs="Courier New"/>
        </w:rPr>
      </w:pPr>
      <w:r w:rsidRPr="00F44C55">
        <w:rPr>
          <w:rFonts w:cs="Times"/>
        </w:rPr>
        <w:t xml:space="preserve">Choudhry NK, </w:t>
      </w:r>
      <w:r w:rsidR="00705923">
        <w:rPr>
          <w:rFonts w:cs="Times"/>
        </w:rPr>
        <w:t>et al</w:t>
      </w:r>
      <w:r w:rsidRPr="00F44C55">
        <w:rPr>
          <w:rFonts w:cs="Times"/>
        </w:rPr>
        <w:t xml:space="preserve">. </w:t>
      </w:r>
      <w:r w:rsidR="00705923">
        <w:rPr>
          <w:rFonts w:cs="Times"/>
        </w:rPr>
        <w:t>Four-dollar</w:t>
      </w:r>
      <w:r w:rsidRPr="00F44C55">
        <w:rPr>
          <w:rFonts w:cs="Calibri"/>
        </w:rPr>
        <w:t xml:space="preserve"> generi</w:t>
      </w:r>
      <w:r w:rsidR="00705923">
        <w:rPr>
          <w:rFonts w:cs="Calibri"/>
        </w:rPr>
        <w:t>cs--</w:t>
      </w:r>
      <w:r w:rsidRPr="00F44C55">
        <w:rPr>
          <w:rFonts w:cs="Calibri"/>
        </w:rPr>
        <w:t>increased accessibility</w:t>
      </w:r>
      <w:r w:rsidR="00705923">
        <w:rPr>
          <w:rFonts w:cs="Calibri"/>
        </w:rPr>
        <w:t>,</w:t>
      </w:r>
      <w:r w:rsidRPr="00F44C55">
        <w:rPr>
          <w:rFonts w:cs="Calibri"/>
        </w:rPr>
        <w:t xml:space="preserve"> impaired quality assurance</w:t>
      </w:r>
      <w:r w:rsidR="00705923">
        <w:rPr>
          <w:rFonts w:cs="Calibri"/>
        </w:rPr>
        <w:t>.</w:t>
      </w:r>
      <w:r w:rsidRPr="00F44C55">
        <w:rPr>
          <w:rFonts w:cs="Calibri"/>
        </w:rPr>
        <w:t xml:space="preserve"> New </w:t>
      </w:r>
      <w:proofErr w:type="spellStart"/>
      <w:r w:rsidR="00CE09C0">
        <w:rPr>
          <w:rFonts w:cs="Calibri"/>
        </w:rPr>
        <w:t>Engl</w:t>
      </w:r>
      <w:proofErr w:type="spellEnd"/>
      <w:r w:rsidR="00CE09C0">
        <w:rPr>
          <w:rFonts w:cs="Calibri"/>
        </w:rPr>
        <w:t xml:space="preserve"> J Med</w:t>
      </w:r>
      <w:r w:rsidRPr="00F44C55">
        <w:rPr>
          <w:rFonts w:cs="Calibri"/>
        </w:rPr>
        <w:t xml:space="preserve">. </w:t>
      </w:r>
      <w:r w:rsidRPr="00F44C55">
        <w:rPr>
          <w:rFonts w:cs="Arial"/>
        </w:rPr>
        <w:t>2010</w:t>
      </w:r>
      <w:r w:rsidR="00705923">
        <w:rPr>
          <w:rFonts w:cs="Arial"/>
        </w:rPr>
        <w:t xml:space="preserve"> Nov 11</w:t>
      </w:r>
      <w:r w:rsidRPr="00F44C55">
        <w:rPr>
          <w:rFonts w:cs="Arial"/>
        </w:rPr>
        <w:t>;363(20):1885-7.</w:t>
      </w:r>
    </w:p>
    <w:p w:rsidR="002D5B24" w:rsidRDefault="00705923" w:rsidP="00F44C55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120"/>
        <w:rPr>
          <w:rFonts w:cs="Courier New"/>
        </w:rPr>
      </w:pPr>
      <w:r>
        <w:t>Wikipedia. Pharmaceutical Marketing.</w:t>
      </w:r>
      <w:r w:rsidR="00BA5876">
        <w:t xml:space="preserve"> </w:t>
      </w:r>
      <w:hyperlink r:id="rId9" w:history="1">
        <w:r w:rsidR="00BA5876" w:rsidRPr="006E0646">
          <w:rPr>
            <w:rStyle w:val="Hyperlink"/>
          </w:rPr>
          <w:t>https://en.wikipedia.org/wiki/Pharmaceutical_marketing</w:t>
        </w:r>
      </w:hyperlink>
      <w:r w:rsidR="00BA5876">
        <w:t xml:space="preserve">. </w:t>
      </w:r>
      <w:r>
        <w:rPr>
          <w:rFonts w:cs="Courier New"/>
        </w:rPr>
        <w:t>Accessed March 16, 2016.</w:t>
      </w:r>
    </w:p>
    <w:p w:rsidR="00705923" w:rsidRDefault="00705923">
      <w:pPr>
        <w:rPr>
          <w:rFonts w:cs="Courier New"/>
        </w:rPr>
      </w:pPr>
      <w:r>
        <w:rPr>
          <w:rFonts w:cs="Courier New"/>
        </w:rPr>
        <w:br w:type="page"/>
      </w:r>
    </w:p>
    <w:p w:rsidR="002D5B24" w:rsidRDefault="002D5B24" w:rsidP="00F44C55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120"/>
        <w:rPr>
          <w:rFonts w:cs="Courier New"/>
        </w:rPr>
      </w:pPr>
      <w:r>
        <w:rPr>
          <w:rFonts w:cs="Courier New"/>
        </w:rPr>
        <w:lastRenderedPageBreak/>
        <w:t>Brownlee, S. Overtreated</w:t>
      </w:r>
      <w:r w:rsidR="0091314E">
        <w:rPr>
          <w:rFonts w:cs="Courier New"/>
        </w:rPr>
        <w:t>:</w:t>
      </w:r>
      <w:r>
        <w:rPr>
          <w:rFonts w:cs="Courier New"/>
        </w:rPr>
        <w:t xml:space="preserve"> Why </w:t>
      </w:r>
      <w:r w:rsidR="0091314E">
        <w:rPr>
          <w:rFonts w:cs="Courier New"/>
        </w:rPr>
        <w:t>T</w:t>
      </w:r>
      <w:r>
        <w:rPr>
          <w:rFonts w:cs="Courier New"/>
        </w:rPr>
        <w:t xml:space="preserve">oo </w:t>
      </w:r>
      <w:r w:rsidR="0091314E">
        <w:rPr>
          <w:rFonts w:cs="Courier New"/>
        </w:rPr>
        <w:t>M</w:t>
      </w:r>
      <w:r>
        <w:rPr>
          <w:rFonts w:cs="Courier New"/>
        </w:rPr>
        <w:t xml:space="preserve">uch </w:t>
      </w:r>
      <w:r w:rsidR="0091314E">
        <w:rPr>
          <w:rFonts w:cs="Courier New"/>
        </w:rPr>
        <w:t>M</w:t>
      </w:r>
      <w:r>
        <w:rPr>
          <w:rFonts w:cs="Courier New"/>
        </w:rPr>
        <w:t>edicine</w:t>
      </w:r>
      <w:r w:rsidR="0091314E">
        <w:rPr>
          <w:rFonts w:cs="Courier New"/>
        </w:rPr>
        <w:t xml:space="preserve"> Is Making Us Sicker and Poorer.</w:t>
      </w:r>
      <w:r>
        <w:rPr>
          <w:rFonts w:cs="Courier New"/>
        </w:rPr>
        <w:t xml:space="preserve">  </w:t>
      </w:r>
      <w:r w:rsidR="0091314E">
        <w:rPr>
          <w:rFonts w:cs="Courier New"/>
        </w:rPr>
        <w:t>New York</w:t>
      </w:r>
      <w:r>
        <w:rPr>
          <w:rFonts w:cs="Courier New"/>
        </w:rPr>
        <w:t>, NY</w:t>
      </w:r>
      <w:r w:rsidR="0091314E">
        <w:rPr>
          <w:rFonts w:cs="Courier New"/>
        </w:rPr>
        <w:t>: Bloomsbury; 2008: 213-217.</w:t>
      </w:r>
    </w:p>
    <w:p w:rsidR="002D5B24" w:rsidRDefault="002D5B24" w:rsidP="00F44C55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120"/>
        <w:rPr>
          <w:rFonts w:cs="Courier New"/>
        </w:rPr>
      </w:pPr>
      <w:proofErr w:type="spellStart"/>
      <w:r>
        <w:rPr>
          <w:rFonts w:cs="Courier New"/>
        </w:rPr>
        <w:t>Kesselheim</w:t>
      </w:r>
      <w:proofErr w:type="spellEnd"/>
      <w:r>
        <w:rPr>
          <w:rFonts w:cs="Courier New"/>
        </w:rPr>
        <w:t xml:space="preserve"> AS, et al. The </w:t>
      </w:r>
      <w:r w:rsidR="0091314E">
        <w:rPr>
          <w:rFonts w:cs="Courier New"/>
        </w:rPr>
        <w:t>c</w:t>
      </w:r>
      <w:r>
        <w:rPr>
          <w:rFonts w:cs="Courier New"/>
        </w:rPr>
        <w:t xml:space="preserve">linical </w:t>
      </w:r>
      <w:r w:rsidR="0091314E">
        <w:rPr>
          <w:rFonts w:cs="Courier New"/>
        </w:rPr>
        <w:t>e</w:t>
      </w:r>
      <w:r>
        <w:rPr>
          <w:rFonts w:cs="Courier New"/>
        </w:rPr>
        <w:t xml:space="preserve">quivalence of </w:t>
      </w:r>
      <w:r w:rsidR="0091314E">
        <w:rPr>
          <w:rFonts w:cs="Courier New"/>
        </w:rPr>
        <w:t>g</w:t>
      </w:r>
      <w:r>
        <w:rPr>
          <w:rFonts w:cs="Courier New"/>
        </w:rPr>
        <w:t xml:space="preserve">eneric and </w:t>
      </w:r>
      <w:r w:rsidR="0091314E">
        <w:rPr>
          <w:rFonts w:cs="Courier New"/>
        </w:rPr>
        <w:t>b</w:t>
      </w:r>
      <w:r>
        <w:rPr>
          <w:rFonts w:cs="Courier New"/>
        </w:rPr>
        <w:t>rand-</w:t>
      </w:r>
      <w:r w:rsidR="0091314E">
        <w:rPr>
          <w:rFonts w:cs="Courier New"/>
        </w:rPr>
        <w:t>n</w:t>
      </w:r>
      <w:r>
        <w:rPr>
          <w:rFonts w:cs="Courier New"/>
        </w:rPr>
        <w:t xml:space="preserve">ame </w:t>
      </w:r>
      <w:r w:rsidR="0091314E">
        <w:rPr>
          <w:rFonts w:cs="Courier New"/>
        </w:rPr>
        <w:t>d</w:t>
      </w:r>
      <w:r>
        <w:rPr>
          <w:rFonts w:cs="Courier New"/>
        </w:rPr>
        <w:t xml:space="preserve">rugs </w:t>
      </w:r>
      <w:r w:rsidR="0091314E">
        <w:rPr>
          <w:rFonts w:cs="Courier New"/>
        </w:rPr>
        <w:t>u</w:t>
      </w:r>
      <w:r>
        <w:rPr>
          <w:rFonts w:cs="Courier New"/>
        </w:rPr>
        <w:t xml:space="preserve">sed in </w:t>
      </w:r>
      <w:r w:rsidR="0091314E">
        <w:rPr>
          <w:rFonts w:cs="Courier New"/>
        </w:rPr>
        <w:t>c</w:t>
      </w:r>
      <w:r>
        <w:rPr>
          <w:rFonts w:cs="Courier New"/>
        </w:rPr>
        <w:t xml:space="preserve">ardiovascular </w:t>
      </w:r>
      <w:r w:rsidR="0091314E">
        <w:rPr>
          <w:rFonts w:cs="Courier New"/>
        </w:rPr>
        <w:t>d</w:t>
      </w:r>
      <w:r>
        <w:rPr>
          <w:rFonts w:cs="Courier New"/>
        </w:rPr>
        <w:t xml:space="preserve">isease: </w:t>
      </w:r>
      <w:r w:rsidR="0091314E">
        <w:rPr>
          <w:rFonts w:cs="Courier New"/>
        </w:rPr>
        <w:t>a</w:t>
      </w:r>
      <w:r>
        <w:rPr>
          <w:rFonts w:cs="Courier New"/>
        </w:rPr>
        <w:t xml:space="preserve"> </w:t>
      </w:r>
      <w:r w:rsidR="0091314E">
        <w:rPr>
          <w:rFonts w:cs="Courier New"/>
        </w:rPr>
        <w:t>s</w:t>
      </w:r>
      <w:r>
        <w:rPr>
          <w:rFonts w:cs="Courier New"/>
        </w:rPr>
        <w:t xml:space="preserve">ystematic </w:t>
      </w:r>
      <w:r w:rsidR="0091314E">
        <w:rPr>
          <w:rFonts w:cs="Courier New"/>
        </w:rPr>
        <w:t>r</w:t>
      </w:r>
      <w:r>
        <w:rPr>
          <w:rFonts w:cs="Courier New"/>
        </w:rPr>
        <w:t xml:space="preserve">eview and </w:t>
      </w:r>
      <w:r w:rsidR="0091314E">
        <w:rPr>
          <w:rFonts w:cs="Courier New"/>
        </w:rPr>
        <w:t>m</w:t>
      </w:r>
      <w:r>
        <w:rPr>
          <w:rFonts w:cs="Courier New"/>
        </w:rPr>
        <w:t>eta-</w:t>
      </w:r>
      <w:r w:rsidR="0091314E">
        <w:rPr>
          <w:rFonts w:cs="Courier New"/>
        </w:rPr>
        <w:t>a</w:t>
      </w:r>
      <w:r>
        <w:rPr>
          <w:rFonts w:cs="Courier New"/>
        </w:rPr>
        <w:t>nalysis. JAMA</w:t>
      </w:r>
      <w:r w:rsidR="0091314E">
        <w:rPr>
          <w:rFonts w:cs="Courier New"/>
        </w:rPr>
        <w:t>.</w:t>
      </w:r>
      <w:r>
        <w:rPr>
          <w:rFonts w:cs="Courier New"/>
        </w:rPr>
        <w:t xml:space="preserve"> 2008</w:t>
      </w:r>
      <w:r w:rsidR="0091314E">
        <w:rPr>
          <w:rFonts w:cs="Courier New"/>
        </w:rPr>
        <w:t xml:space="preserve"> Dec 3</w:t>
      </w:r>
      <w:r>
        <w:rPr>
          <w:rFonts w:cs="Courier New"/>
        </w:rPr>
        <w:t>;300(21):2514-26.</w:t>
      </w:r>
    </w:p>
    <w:p w:rsidR="002D5B24" w:rsidRDefault="002D5B24" w:rsidP="00F44C55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120"/>
        <w:rPr>
          <w:rFonts w:cs="Courier New"/>
        </w:rPr>
      </w:pPr>
      <w:proofErr w:type="spellStart"/>
      <w:r>
        <w:rPr>
          <w:rFonts w:cs="Courier New"/>
        </w:rPr>
        <w:t>Kesselheim</w:t>
      </w:r>
      <w:proofErr w:type="spellEnd"/>
      <w:r>
        <w:rPr>
          <w:rFonts w:cs="Courier New"/>
        </w:rPr>
        <w:t xml:space="preserve"> AS, et al. Seizure </w:t>
      </w:r>
      <w:r w:rsidR="0091314E">
        <w:rPr>
          <w:rFonts w:cs="Courier New"/>
        </w:rPr>
        <w:t>o</w:t>
      </w:r>
      <w:r>
        <w:rPr>
          <w:rFonts w:cs="Courier New"/>
        </w:rPr>
        <w:t xml:space="preserve">utcomes </w:t>
      </w:r>
      <w:r w:rsidR="0091314E">
        <w:rPr>
          <w:rFonts w:cs="Courier New"/>
        </w:rPr>
        <w:t>f</w:t>
      </w:r>
      <w:r>
        <w:rPr>
          <w:rFonts w:cs="Courier New"/>
        </w:rPr>
        <w:t xml:space="preserve">ollowing </w:t>
      </w:r>
      <w:r w:rsidR="0091314E">
        <w:rPr>
          <w:rFonts w:cs="Courier New"/>
        </w:rPr>
        <w:t>u</w:t>
      </w:r>
      <w:r>
        <w:rPr>
          <w:rFonts w:cs="Courier New"/>
        </w:rPr>
        <w:t xml:space="preserve">se of </w:t>
      </w:r>
      <w:r w:rsidR="0091314E">
        <w:rPr>
          <w:rFonts w:cs="Courier New"/>
        </w:rPr>
        <w:t>g</w:t>
      </w:r>
      <w:r>
        <w:rPr>
          <w:rFonts w:cs="Courier New"/>
        </w:rPr>
        <w:t xml:space="preserve">eneric </w:t>
      </w:r>
      <w:r w:rsidR="0091314E">
        <w:rPr>
          <w:rFonts w:cs="Courier New"/>
        </w:rPr>
        <w:t>versus</w:t>
      </w:r>
      <w:r>
        <w:rPr>
          <w:rFonts w:cs="Courier New"/>
        </w:rPr>
        <w:t xml:space="preserve"> </w:t>
      </w:r>
      <w:r w:rsidR="0091314E">
        <w:rPr>
          <w:rFonts w:cs="Courier New"/>
        </w:rPr>
        <w:t>b</w:t>
      </w:r>
      <w:r>
        <w:rPr>
          <w:rFonts w:cs="Courier New"/>
        </w:rPr>
        <w:t>rand-</w:t>
      </w:r>
      <w:r w:rsidR="0091314E">
        <w:rPr>
          <w:rFonts w:cs="Courier New"/>
        </w:rPr>
        <w:t>n</w:t>
      </w:r>
      <w:r>
        <w:rPr>
          <w:rFonts w:cs="Courier New"/>
        </w:rPr>
        <w:t xml:space="preserve">ame </w:t>
      </w:r>
      <w:r w:rsidR="0091314E">
        <w:rPr>
          <w:rFonts w:cs="Courier New"/>
        </w:rPr>
        <w:t>a</w:t>
      </w:r>
      <w:r>
        <w:rPr>
          <w:rFonts w:cs="Courier New"/>
        </w:rPr>
        <w:t xml:space="preserve">ntiepileptic </w:t>
      </w:r>
      <w:r w:rsidR="0091314E">
        <w:rPr>
          <w:rFonts w:cs="Courier New"/>
        </w:rPr>
        <w:t>dr</w:t>
      </w:r>
      <w:r>
        <w:rPr>
          <w:rFonts w:cs="Courier New"/>
        </w:rPr>
        <w:t xml:space="preserve">ugs: </w:t>
      </w:r>
      <w:r w:rsidR="0091314E">
        <w:rPr>
          <w:rFonts w:cs="Courier New"/>
        </w:rPr>
        <w:t>a</w:t>
      </w:r>
      <w:r>
        <w:rPr>
          <w:rFonts w:cs="Courier New"/>
        </w:rPr>
        <w:t xml:space="preserve"> </w:t>
      </w:r>
      <w:r w:rsidR="0091314E">
        <w:rPr>
          <w:rFonts w:cs="Courier New"/>
        </w:rPr>
        <w:t>s</w:t>
      </w:r>
      <w:r>
        <w:rPr>
          <w:rFonts w:cs="Courier New"/>
        </w:rPr>
        <w:t xml:space="preserve">ystematic </w:t>
      </w:r>
      <w:r w:rsidR="0091314E">
        <w:rPr>
          <w:rFonts w:cs="Courier New"/>
        </w:rPr>
        <w:t>r</w:t>
      </w:r>
      <w:r>
        <w:rPr>
          <w:rFonts w:cs="Courier New"/>
        </w:rPr>
        <w:t xml:space="preserve">eview and </w:t>
      </w:r>
      <w:r w:rsidR="0091314E">
        <w:rPr>
          <w:rFonts w:cs="Courier New"/>
        </w:rPr>
        <w:t>m</w:t>
      </w:r>
      <w:r>
        <w:rPr>
          <w:rFonts w:cs="Courier New"/>
        </w:rPr>
        <w:t>eta-</w:t>
      </w:r>
      <w:r w:rsidR="0091314E">
        <w:rPr>
          <w:rFonts w:cs="Courier New"/>
        </w:rPr>
        <w:t>a</w:t>
      </w:r>
      <w:r>
        <w:rPr>
          <w:rFonts w:cs="Courier New"/>
        </w:rPr>
        <w:t>nalysis. Drugs</w:t>
      </w:r>
      <w:r w:rsidR="0091314E">
        <w:rPr>
          <w:rFonts w:cs="Courier New"/>
        </w:rPr>
        <w:t>.</w:t>
      </w:r>
      <w:r>
        <w:rPr>
          <w:rFonts w:cs="Courier New"/>
        </w:rPr>
        <w:t xml:space="preserve"> 2010</w:t>
      </w:r>
      <w:r w:rsidR="0091314E">
        <w:rPr>
          <w:rFonts w:cs="Courier New"/>
        </w:rPr>
        <w:t xml:space="preserve"> Mar 26</w:t>
      </w:r>
      <w:r>
        <w:rPr>
          <w:rFonts w:cs="Courier New"/>
        </w:rPr>
        <w:t>;70(5):605-21.</w:t>
      </w:r>
    </w:p>
    <w:p w:rsidR="00EF19EB" w:rsidRPr="00EF19EB" w:rsidRDefault="002D5B24" w:rsidP="00F44C55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120"/>
        <w:rPr>
          <w:rFonts w:cs="Courier New"/>
        </w:rPr>
      </w:pPr>
      <w:proofErr w:type="spellStart"/>
      <w:r>
        <w:rPr>
          <w:rFonts w:cs="Courier New"/>
        </w:rPr>
        <w:t>GoodRx</w:t>
      </w:r>
      <w:proofErr w:type="spellEnd"/>
      <w:r w:rsidR="0091314E">
        <w:rPr>
          <w:rFonts w:cs="Courier New"/>
        </w:rPr>
        <w:t>.</w:t>
      </w:r>
      <w:r w:rsidR="00BA5876">
        <w:rPr>
          <w:rFonts w:cs="Courier New"/>
        </w:rPr>
        <w:t xml:space="preserve"> </w:t>
      </w:r>
      <w:hyperlink r:id="rId10" w:history="1">
        <w:r w:rsidR="00BA5876" w:rsidRPr="006E0646">
          <w:rPr>
            <w:rStyle w:val="Hyperlink"/>
            <w:rFonts w:cs="Courier New"/>
          </w:rPr>
          <w:t>http://www.goodrx.com</w:t>
        </w:r>
      </w:hyperlink>
      <w:r w:rsidR="00BA5876">
        <w:rPr>
          <w:rFonts w:cs="Courier New"/>
        </w:rPr>
        <w:t xml:space="preserve">. </w:t>
      </w:r>
      <w:r>
        <w:rPr>
          <w:rFonts w:cs="Courier New"/>
        </w:rPr>
        <w:t xml:space="preserve">Last accessed </w:t>
      </w:r>
      <w:r w:rsidR="0091314E">
        <w:rPr>
          <w:rFonts w:cs="Courier New"/>
        </w:rPr>
        <w:t>March 16, 2016</w:t>
      </w:r>
      <w:r>
        <w:rPr>
          <w:rFonts w:cs="Courier New"/>
        </w:rPr>
        <w:t>.</w:t>
      </w:r>
    </w:p>
    <w:p w:rsidR="00EF19EB" w:rsidRPr="00EF19EB" w:rsidRDefault="00EF19EB" w:rsidP="00EF19EB">
      <w:pPr>
        <w:pStyle w:val="ListParagraph"/>
        <w:widowControl w:val="0"/>
        <w:autoSpaceDE w:val="0"/>
        <w:autoSpaceDN w:val="0"/>
        <w:adjustRightInd w:val="0"/>
        <w:spacing w:after="120"/>
        <w:rPr>
          <w:rFonts w:cs="Courier New"/>
        </w:rPr>
      </w:pPr>
    </w:p>
    <w:p w:rsidR="00F44C55" w:rsidRPr="00EF19EB" w:rsidRDefault="00CB6F6B" w:rsidP="00EF19EB">
      <w:pPr>
        <w:widowControl w:val="0"/>
        <w:autoSpaceDE w:val="0"/>
        <w:autoSpaceDN w:val="0"/>
        <w:adjustRightInd w:val="0"/>
        <w:spacing w:after="120"/>
        <w:ind w:left="360"/>
        <w:rPr>
          <w:rFonts w:cs="Courier New"/>
        </w:rPr>
      </w:pPr>
      <w:r w:rsidRPr="00EF19EB">
        <w:rPr>
          <w:b/>
        </w:rPr>
        <w:t xml:space="preserve">Presentation </w:t>
      </w:r>
      <w:r w:rsidR="00F44C55" w:rsidRPr="00EF19EB">
        <w:rPr>
          <w:b/>
        </w:rPr>
        <w:t>Instructions</w:t>
      </w:r>
    </w:p>
    <w:tbl>
      <w:tblPr>
        <w:tblpPr w:leftFromText="180" w:rightFromText="180" w:vertAnchor="text" w:horzAnchor="margin" w:tblpY="37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8190"/>
        <w:gridCol w:w="1620"/>
      </w:tblGrid>
      <w:tr w:rsidR="00F44C55" w:rsidRPr="00A45171" w:rsidTr="002D5B24">
        <w:tc>
          <w:tcPr>
            <w:tcW w:w="648" w:type="dxa"/>
            <w:vAlign w:val="center"/>
          </w:tcPr>
          <w:p w:rsidR="00F44C55" w:rsidRPr="00F44C55" w:rsidRDefault="00F44C55" w:rsidP="002420E2">
            <w:pPr>
              <w:spacing w:before="120" w:after="120"/>
            </w:pPr>
            <w:r w:rsidRPr="00F44C55">
              <w:t>Step</w:t>
            </w:r>
          </w:p>
        </w:tc>
        <w:tc>
          <w:tcPr>
            <w:tcW w:w="8190" w:type="dxa"/>
            <w:vAlign w:val="center"/>
          </w:tcPr>
          <w:p w:rsidR="00F44C55" w:rsidRPr="00F44C55" w:rsidRDefault="00F44C55" w:rsidP="002420E2">
            <w:pPr>
              <w:spacing w:before="120" w:after="120"/>
            </w:pPr>
            <w:r w:rsidRPr="00F44C55">
              <w:t>Description</w:t>
            </w:r>
          </w:p>
        </w:tc>
        <w:tc>
          <w:tcPr>
            <w:tcW w:w="1620" w:type="dxa"/>
          </w:tcPr>
          <w:p w:rsidR="00F44C55" w:rsidRPr="00F44C55" w:rsidRDefault="00F44C55" w:rsidP="002420E2">
            <w:pPr>
              <w:spacing w:before="120" w:after="120"/>
            </w:pPr>
            <w:r w:rsidRPr="00F44C55">
              <w:t>Estimated Time</w:t>
            </w:r>
          </w:p>
        </w:tc>
      </w:tr>
      <w:tr w:rsidR="00F44C55" w:rsidRPr="00A45171" w:rsidTr="002D5B24">
        <w:tc>
          <w:tcPr>
            <w:tcW w:w="648" w:type="dxa"/>
          </w:tcPr>
          <w:p w:rsidR="00F44C55" w:rsidRPr="00F44C55" w:rsidRDefault="00F44C55" w:rsidP="002420E2">
            <w:pPr>
              <w:spacing w:before="120" w:after="120"/>
              <w:jc w:val="center"/>
            </w:pPr>
            <w:r w:rsidRPr="00F44C55">
              <w:t>1</w:t>
            </w:r>
          </w:p>
        </w:tc>
        <w:tc>
          <w:tcPr>
            <w:tcW w:w="8190" w:type="dxa"/>
          </w:tcPr>
          <w:p w:rsidR="00F44C55" w:rsidRPr="00F44C55" w:rsidRDefault="00F44C55" w:rsidP="002420E2">
            <w:pPr>
              <w:spacing w:before="120" w:after="120"/>
            </w:pPr>
            <w:r w:rsidRPr="00F44C55">
              <w:t>Welcome participants, introduce speakers, identify the reason for the discussion including:</w:t>
            </w:r>
          </w:p>
          <w:p w:rsidR="00F44C55" w:rsidRPr="00F44C55" w:rsidRDefault="00F44C55" w:rsidP="002420E2">
            <w:pPr>
              <w:pStyle w:val="ListParagraph"/>
              <w:numPr>
                <w:ilvl w:val="0"/>
                <w:numId w:val="14"/>
              </w:numPr>
              <w:spacing w:before="120" w:after="120"/>
            </w:pPr>
            <w:r w:rsidRPr="00F44C55">
              <w:t>Underscore the value of prudent medication prescribing on patient outcomes, adherence</w:t>
            </w:r>
            <w:r w:rsidR="002420E2">
              <w:t>,</w:t>
            </w:r>
            <w:r w:rsidRPr="00F44C55">
              <w:t xml:space="preserve"> and cost</w:t>
            </w:r>
            <w:bookmarkStart w:id="0" w:name="_GoBack"/>
            <w:bookmarkEnd w:id="0"/>
          </w:p>
          <w:p w:rsidR="00F44C55" w:rsidRPr="00F44C55" w:rsidRDefault="00F44C55" w:rsidP="002420E2">
            <w:pPr>
              <w:pStyle w:val="ListParagraph"/>
              <w:numPr>
                <w:ilvl w:val="0"/>
                <w:numId w:val="14"/>
              </w:numPr>
              <w:spacing w:before="120" w:after="120"/>
            </w:pPr>
            <w:r w:rsidRPr="00F44C55">
              <w:t xml:space="preserve">Explain the learning objectives </w:t>
            </w:r>
            <w:r w:rsidR="00792107">
              <w:t>(slide #2)</w:t>
            </w:r>
          </w:p>
        </w:tc>
        <w:tc>
          <w:tcPr>
            <w:tcW w:w="1620" w:type="dxa"/>
          </w:tcPr>
          <w:p w:rsidR="00F44C55" w:rsidRPr="00F44C55" w:rsidRDefault="00F44C55" w:rsidP="002420E2">
            <w:pPr>
              <w:spacing w:before="120" w:after="120"/>
              <w:jc w:val="center"/>
            </w:pPr>
            <w:r w:rsidRPr="00F44C55">
              <w:t>5 minutes</w:t>
            </w:r>
          </w:p>
        </w:tc>
      </w:tr>
      <w:tr w:rsidR="00F44C55" w:rsidRPr="00A45171" w:rsidTr="002D5B24">
        <w:trPr>
          <w:trHeight w:val="1943"/>
        </w:trPr>
        <w:tc>
          <w:tcPr>
            <w:tcW w:w="648" w:type="dxa"/>
          </w:tcPr>
          <w:p w:rsidR="00F44C55" w:rsidRPr="00F44C55" w:rsidRDefault="00F44C55" w:rsidP="002420E2">
            <w:pPr>
              <w:spacing w:before="120" w:after="120"/>
              <w:jc w:val="center"/>
            </w:pPr>
            <w:r w:rsidRPr="00F44C55">
              <w:t>2</w:t>
            </w:r>
          </w:p>
        </w:tc>
        <w:tc>
          <w:tcPr>
            <w:tcW w:w="8190" w:type="dxa"/>
          </w:tcPr>
          <w:p w:rsidR="00F44C55" w:rsidRPr="00F44C55" w:rsidRDefault="00F44C55" w:rsidP="002420E2">
            <w:pPr>
              <w:spacing w:before="120" w:after="120"/>
            </w:pPr>
            <w:r w:rsidRPr="00F44C55">
              <w:t xml:space="preserve"> Case One </w:t>
            </w:r>
            <w:r w:rsidR="00CB6F6B">
              <w:t>–</w:t>
            </w:r>
            <w:r w:rsidRPr="00F44C55">
              <w:t xml:space="preserve"> </w:t>
            </w:r>
            <w:r w:rsidR="00CB6F6B">
              <w:t>Rheumatoid Arthritis</w:t>
            </w:r>
          </w:p>
          <w:p w:rsidR="00F44C55" w:rsidRPr="00F44C55" w:rsidRDefault="00CB6F6B" w:rsidP="002420E2">
            <w:pPr>
              <w:pStyle w:val="ListParagraph"/>
              <w:numPr>
                <w:ilvl w:val="0"/>
                <w:numId w:val="19"/>
              </w:numPr>
              <w:spacing w:before="120" w:after="120"/>
            </w:pPr>
            <w:r>
              <w:t>Present the case on slide #3</w:t>
            </w:r>
          </w:p>
          <w:p w:rsidR="00F44C55" w:rsidRPr="00F44C55" w:rsidRDefault="00F44C55" w:rsidP="002420E2">
            <w:pPr>
              <w:pStyle w:val="ListParagraph"/>
              <w:numPr>
                <w:ilvl w:val="0"/>
                <w:numId w:val="19"/>
              </w:numPr>
              <w:spacing w:before="120" w:after="120"/>
            </w:pPr>
            <w:r w:rsidRPr="00F44C55">
              <w:t>Review the medications and pharmacy bill for the medications prescribed</w:t>
            </w:r>
            <w:r w:rsidR="00CB6F6B">
              <w:t xml:space="preserve"> (slide #4)</w:t>
            </w:r>
          </w:p>
          <w:p w:rsidR="00F44C55" w:rsidRPr="00F44C55" w:rsidRDefault="00F44C55" w:rsidP="002420E2">
            <w:pPr>
              <w:pStyle w:val="ListParagraph"/>
              <w:numPr>
                <w:ilvl w:val="0"/>
                <w:numId w:val="19"/>
              </w:numPr>
              <w:spacing w:before="120" w:after="120"/>
            </w:pPr>
            <w:r w:rsidRPr="00F44C55">
              <w:t xml:space="preserve">Ask the audience the following questions: </w:t>
            </w:r>
            <w:r w:rsidRPr="00F44C55">
              <w:rPr>
                <w:iCs/>
              </w:rPr>
              <w:t>Why did it cost so much?</w:t>
            </w:r>
          </w:p>
          <w:p w:rsidR="00F44C55" w:rsidRDefault="00F44C55" w:rsidP="002420E2">
            <w:pPr>
              <w:pStyle w:val="ListParagraph"/>
              <w:spacing w:before="120" w:after="120"/>
              <w:ind w:left="378"/>
              <w:rPr>
                <w:iCs/>
              </w:rPr>
            </w:pPr>
            <w:r w:rsidRPr="00F44C55">
              <w:rPr>
                <w:iCs/>
              </w:rPr>
              <w:t xml:space="preserve">Was there a less expensive alternative? Did </w:t>
            </w:r>
            <w:r w:rsidR="00CB6F6B">
              <w:rPr>
                <w:iCs/>
              </w:rPr>
              <w:t>s</w:t>
            </w:r>
            <w:r w:rsidRPr="00F44C55">
              <w:rPr>
                <w:iCs/>
              </w:rPr>
              <w:t>he really need all of those medications?</w:t>
            </w:r>
          </w:p>
          <w:p w:rsidR="00CB6F6B" w:rsidRPr="00F44C55" w:rsidRDefault="00CB6F6B" w:rsidP="002420E2">
            <w:pPr>
              <w:pStyle w:val="ListParagraph"/>
              <w:numPr>
                <w:ilvl w:val="0"/>
                <w:numId w:val="2"/>
              </w:numPr>
              <w:spacing w:before="120" w:after="120"/>
            </w:pPr>
            <w:r w:rsidRPr="00F44C55">
              <w:t>Go around the room and ask participants to discuss the question</w:t>
            </w:r>
            <w:r>
              <w:t>s</w:t>
            </w:r>
          </w:p>
          <w:p w:rsidR="00F44C55" w:rsidRPr="00F44C55" w:rsidRDefault="00F44C55" w:rsidP="002420E2">
            <w:pPr>
              <w:pStyle w:val="ListParagraph"/>
              <w:numPr>
                <w:ilvl w:val="0"/>
                <w:numId w:val="20"/>
              </w:numPr>
              <w:spacing w:before="120" w:after="120"/>
            </w:pPr>
            <w:r w:rsidRPr="00F44C55">
              <w:rPr>
                <w:iCs/>
              </w:rPr>
              <w:t>Emphasize this was a relatively healthy patient with insurance and remark at how pharmacy bills can add up quickly for ALL patients</w:t>
            </w:r>
            <w:r w:rsidRPr="00F44C55">
              <w:t xml:space="preserve"> </w:t>
            </w:r>
          </w:p>
        </w:tc>
        <w:tc>
          <w:tcPr>
            <w:tcW w:w="1620" w:type="dxa"/>
          </w:tcPr>
          <w:p w:rsidR="00F44C55" w:rsidRPr="00F44C55" w:rsidRDefault="00F44C55" w:rsidP="002420E2">
            <w:pPr>
              <w:spacing w:before="120" w:after="120"/>
              <w:jc w:val="center"/>
            </w:pPr>
            <w:r w:rsidRPr="00F44C55">
              <w:t>10 minutes</w:t>
            </w:r>
          </w:p>
        </w:tc>
      </w:tr>
      <w:tr w:rsidR="00F44C55" w:rsidRPr="00A45171" w:rsidTr="002D5B24">
        <w:tc>
          <w:tcPr>
            <w:tcW w:w="648" w:type="dxa"/>
          </w:tcPr>
          <w:p w:rsidR="00F44C55" w:rsidRPr="00F44C55" w:rsidRDefault="00F44C55" w:rsidP="002420E2">
            <w:pPr>
              <w:spacing w:before="120" w:after="120"/>
              <w:jc w:val="center"/>
            </w:pPr>
            <w:r w:rsidRPr="00F44C55">
              <w:t>3</w:t>
            </w:r>
          </w:p>
        </w:tc>
        <w:tc>
          <w:tcPr>
            <w:tcW w:w="8190" w:type="dxa"/>
          </w:tcPr>
          <w:p w:rsidR="00F44C55" w:rsidRPr="00F44C55" w:rsidRDefault="00CB6F6B" w:rsidP="002420E2">
            <w:pPr>
              <w:spacing w:before="120" w:after="120"/>
            </w:pPr>
            <w:r>
              <w:t>Q</w:t>
            </w:r>
            <w:r w:rsidR="00F44C55" w:rsidRPr="00F44C55">
              <w:t>uestion</w:t>
            </w:r>
            <w:r>
              <w:t>s</w:t>
            </w:r>
            <w:r w:rsidR="00F44C55" w:rsidRPr="00F44C55">
              <w:t xml:space="preserve"> </w:t>
            </w:r>
            <w:r w:rsidR="00BA5876">
              <w:t>D</w:t>
            </w:r>
            <w:r w:rsidR="00F44C55" w:rsidRPr="00F44C55">
              <w:t xml:space="preserve">iscussion </w:t>
            </w:r>
            <w:r w:rsidR="00BA5876">
              <w:t>–</w:t>
            </w:r>
            <w:r w:rsidR="00F44C55" w:rsidRPr="00F44C55">
              <w:t xml:space="preserve"> </w:t>
            </w:r>
            <w:r w:rsidR="00BA5876">
              <w:t>P</w:t>
            </w:r>
            <w:r w:rsidR="00F44C55" w:rsidRPr="00F44C55">
              <w:t xml:space="preserve">harmaceutical </w:t>
            </w:r>
            <w:r w:rsidR="00BA5876">
              <w:t>M</w:t>
            </w:r>
            <w:r w:rsidR="00F44C55" w:rsidRPr="00F44C55">
              <w:t xml:space="preserve">arketing to </w:t>
            </w:r>
            <w:r w:rsidR="00BA5876">
              <w:t>P</w:t>
            </w:r>
            <w:r w:rsidR="00F44C55" w:rsidRPr="00F44C55">
              <w:t>hysicians</w:t>
            </w:r>
          </w:p>
          <w:p w:rsidR="00CB6F6B" w:rsidRDefault="00BA5876" w:rsidP="002420E2">
            <w:pPr>
              <w:pStyle w:val="ListParagraph"/>
              <w:numPr>
                <w:ilvl w:val="0"/>
                <w:numId w:val="2"/>
              </w:numPr>
              <w:spacing w:before="120" w:after="120"/>
            </w:pPr>
            <w:r>
              <w:t xml:space="preserve">Present </w:t>
            </w:r>
            <w:r w:rsidR="0013165D">
              <w:t>slide on pharmaceutical marketing to physicians as one influence on medication costs (slide #5)</w:t>
            </w:r>
          </w:p>
          <w:p w:rsidR="00F44C55" w:rsidRDefault="00F44C55" w:rsidP="002420E2">
            <w:pPr>
              <w:pStyle w:val="ListParagraph"/>
              <w:numPr>
                <w:ilvl w:val="0"/>
                <w:numId w:val="2"/>
              </w:numPr>
              <w:spacing w:before="120" w:after="120"/>
            </w:pPr>
            <w:r w:rsidRPr="00F44C55">
              <w:t>Review some statistics around pharmaceutical marketing, point out the difference in money spent marketing to physician</w:t>
            </w:r>
            <w:r w:rsidR="0013165D">
              <w:t>s in the US vs. Canada (slide #6</w:t>
            </w:r>
            <w:r w:rsidR="00BA5876">
              <w:t>)</w:t>
            </w:r>
          </w:p>
          <w:p w:rsidR="008E36D9" w:rsidRPr="00F44C55" w:rsidRDefault="008E36D9" w:rsidP="00BA5876">
            <w:pPr>
              <w:pStyle w:val="ListParagraph"/>
              <w:numPr>
                <w:ilvl w:val="0"/>
                <w:numId w:val="2"/>
              </w:numPr>
              <w:spacing w:before="120" w:after="120"/>
            </w:pPr>
            <w:r>
              <w:t xml:space="preserve">Mention the recent Sunshine Act that requires all gifts to physicians be publicly reported </w:t>
            </w:r>
            <w:hyperlink r:id="rId11" w:history="1">
              <w:r w:rsidRPr="008E36D9">
                <w:rPr>
                  <w:rStyle w:val="Hyperlink"/>
                </w:rPr>
                <w:t>http://www.policymed.com/2013/02/physician-payment-sunshine-act-final-rule-quick-reference-guide.html</w:t>
              </w:r>
            </w:hyperlink>
          </w:p>
        </w:tc>
        <w:tc>
          <w:tcPr>
            <w:tcW w:w="1620" w:type="dxa"/>
          </w:tcPr>
          <w:p w:rsidR="00F44C55" w:rsidRPr="00F44C55" w:rsidRDefault="00F44C55" w:rsidP="002420E2">
            <w:pPr>
              <w:spacing w:before="120" w:after="120"/>
              <w:jc w:val="center"/>
            </w:pPr>
            <w:r w:rsidRPr="00F44C55">
              <w:t>10 minutes</w:t>
            </w:r>
          </w:p>
        </w:tc>
      </w:tr>
      <w:tr w:rsidR="00F44C55" w:rsidRPr="00A45171" w:rsidTr="002D5B24">
        <w:tc>
          <w:tcPr>
            <w:tcW w:w="648" w:type="dxa"/>
          </w:tcPr>
          <w:p w:rsidR="00F44C55" w:rsidRPr="00F44C55" w:rsidRDefault="00F44C55" w:rsidP="002420E2">
            <w:pPr>
              <w:spacing w:before="120" w:after="120"/>
              <w:jc w:val="center"/>
            </w:pPr>
            <w:r w:rsidRPr="00F44C55">
              <w:t>4</w:t>
            </w:r>
          </w:p>
        </w:tc>
        <w:tc>
          <w:tcPr>
            <w:tcW w:w="8190" w:type="dxa"/>
          </w:tcPr>
          <w:p w:rsidR="00F44C55" w:rsidRPr="00F44C55" w:rsidRDefault="00F44C55" w:rsidP="002420E2">
            <w:pPr>
              <w:spacing w:before="120" w:after="120"/>
            </w:pPr>
            <w:r w:rsidRPr="00F44C55">
              <w:t xml:space="preserve"> Questions and </w:t>
            </w:r>
            <w:r w:rsidR="00BA5876">
              <w:t>A</w:t>
            </w:r>
            <w:r w:rsidRPr="00F44C55">
              <w:t xml:space="preserve">nswers </w:t>
            </w:r>
            <w:r w:rsidR="00BA5876">
              <w:t>–</w:t>
            </w:r>
            <w:r w:rsidRPr="00F44C55">
              <w:t xml:space="preserve"> </w:t>
            </w:r>
            <w:r w:rsidR="00BA5876">
              <w:t>H</w:t>
            </w:r>
            <w:r w:rsidRPr="00F44C55">
              <w:t xml:space="preserve">igh </w:t>
            </w:r>
            <w:r w:rsidR="00BA5876">
              <w:t>V</w:t>
            </w:r>
            <w:r w:rsidRPr="00F44C55">
              <w:t xml:space="preserve">alue </w:t>
            </w:r>
            <w:r w:rsidR="00BA5876">
              <w:t>P</w:t>
            </w:r>
            <w:r w:rsidRPr="00F44C55">
              <w:t>rescribing</w:t>
            </w:r>
          </w:p>
          <w:p w:rsidR="00F44C55" w:rsidRPr="00CA274B" w:rsidRDefault="00F44C55" w:rsidP="002420E2">
            <w:pPr>
              <w:pStyle w:val="ListParagraph"/>
              <w:numPr>
                <w:ilvl w:val="0"/>
                <w:numId w:val="15"/>
              </w:numPr>
              <w:spacing w:before="120" w:after="120"/>
            </w:pPr>
            <w:r w:rsidRPr="00F44C55">
              <w:rPr>
                <w:iCs/>
              </w:rPr>
              <w:t>Highlight the value of switching to generic medications</w:t>
            </w:r>
            <w:r w:rsidR="0013165D">
              <w:rPr>
                <w:iCs/>
              </w:rPr>
              <w:t xml:space="preserve"> (slide #7)</w:t>
            </w:r>
            <w:r w:rsidR="00DB36B5">
              <w:rPr>
                <w:iCs/>
              </w:rPr>
              <w:t xml:space="preserve"> and</w:t>
            </w:r>
            <w:r w:rsidR="0013165D">
              <w:rPr>
                <w:iCs/>
              </w:rPr>
              <w:t xml:space="preserve"> to alternative medicat</w:t>
            </w:r>
            <w:r w:rsidR="00BA5876">
              <w:rPr>
                <w:iCs/>
              </w:rPr>
              <w:t>i</w:t>
            </w:r>
            <w:r w:rsidR="0013165D">
              <w:rPr>
                <w:iCs/>
              </w:rPr>
              <w:t>ons (slide #8)</w:t>
            </w:r>
          </w:p>
          <w:p w:rsidR="00CA274B" w:rsidRPr="00F44C55" w:rsidRDefault="00CA274B" w:rsidP="002420E2">
            <w:pPr>
              <w:pStyle w:val="ListParagraph"/>
              <w:numPr>
                <w:ilvl w:val="0"/>
                <w:numId w:val="15"/>
              </w:numPr>
              <w:spacing w:before="120" w:after="120"/>
            </w:pPr>
            <w:r>
              <w:rPr>
                <w:iCs/>
              </w:rPr>
              <w:t xml:space="preserve">Present some other considerations that can be used to cut medication costs </w:t>
            </w:r>
            <w:r w:rsidR="008E36D9">
              <w:rPr>
                <w:iCs/>
              </w:rPr>
              <w:t xml:space="preserve">and harms </w:t>
            </w:r>
            <w:r>
              <w:rPr>
                <w:iCs/>
              </w:rPr>
              <w:t>(slide #</w:t>
            </w:r>
            <w:r w:rsidR="0013165D">
              <w:rPr>
                <w:iCs/>
              </w:rPr>
              <w:t>9</w:t>
            </w:r>
            <w:r w:rsidR="0081341B">
              <w:rPr>
                <w:iCs/>
              </w:rPr>
              <w:t>)</w:t>
            </w:r>
          </w:p>
        </w:tc>
        <w:tc>
          <w:tcPr>
            <w:tcW w:w="1620" w:type="dxa"/>
          </w:tcPr>
          <w:p w:rsidR="00F44C55" w:rsidRPr="00F44C55" w:rsidRDefault="00F44C55" w:rsidP="002420E2">
            <w:pPr>
              <w:spacing w:before="120" w:after="120"/>
              <w:jc w:val="center"/>
            </w:pPr>
            <w:r w:rsidRPr="00F44C55">
              <w:t>5 minutes</w:t>
            </w:r>
          </w:p>
        </w:tc>
      </w:tr>
    </w:tbl>
    <w:p w:rsidR="00BA5876" w:rsidRDefault="00BA5876">
      <w:r>
        <w:br w:type="page"/>
      </w:r>
    </w:p>
    <w:tbl>
      <w:tblPr>
        <w:tblpPr w:leftFromText="180" w:rightFromText="180" w:vertAnchor="text" w:horzAnchor="margin" w:tblpY="37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8190"/>
        <w:gridCol w:w="1620"/>
      </w:tblGrid>
      <w:tr w:rsidR="00F44C55" w:rsidRPr="00A45171" w:rsidTr="002D5B24">
        <w:tc>
          <w:tcPr>
            <w:tcW w:w="648" w:type="dxa"/>
          </w:tcPr>
          <w:p w:rsidR="00F44C55" w:rsidRPr="00F44C55" w:rsidRDefault="00F44C55" w:rsidP="002420E2">
            <w:pPr>
              <w:spacing w:before="120" w:after="120"/>
              <w:jc w:val="center"/>
            </w:pPr>
            <w:r w:rsidRPr="00F44C55">
              <w:lastRenderedPageBreak/>
              <w:t>5</w:t>
            </w:r>
          </w:p>
        </w:tc>
        <w:tc>
          <w:tcPr>
            <w:tcW w:w="8190" w:type="dxa"/>
          </w:tcPr>
          <w:p w:rsidR="00F44C55" w:rsidRPr="00F44C55" w:rsidRDefault="00F44C55" w:rsidP="002420E2">
            <w:pPr>
              <w:spacing w:before="120" w:after="120"/>
            </w:pPr>
            <w:r w:rsidRPr="00F44C55">
              <w:t xml:space="preserve">Case </w:t>
            </w:r>
            <w:r w:rsidR="00BA5876">
              <w:t>T</w:t>
            </w:r>
            <w:r w:rsidRPr="00F44C55">
              <w:t xml:space="preserve">wo </w:t>
            </w:r>
            <w:r w:rsidR="00BA5876">
              <w:t>–</w:t>
            </w:r>
            <w:r w:rsidRPr="00F44C55">
              <w:t xml:space="preserve"> Medication Reconciliation</w:t>
            </w:r>
            <w:r w:rsidR="00BA5876">
              <w:t xml:space="preserve"> </w:t>
            </w:r>
          </w:p>
          <w:p w:rsidR="00F44C55" w:rsidRPr="00F44C55" w:rsidRDefault="00F44C55" w:rsidP="002420E2">
            <w:pPr>
              <w:pStyle w:val="ListParagraph"/>
              <w:numPr>
                <w:ilvl w:val="0"/>
                <w:numId w:val="16"/>
              </w:numPr>
              <w:spacing w:before="120" w:after="120"/>
            </w:pPr>
            <w:r w:rsidRPr="00F44C55">
              <w:t>Present a woman with HTN</w:t>
            </w:r>
            <w:r w:rsidR="00BA5876">
              <w:t>, HLD, and DM admitted for work</w:t>
            </w:r>
            <w:r w:rsidRPr="00F44C55">
              <w:t xml:space="preserve">up of chest pain who has minimal disease on cardiac </w:t>
            </w:r>
            <w:r w:rsidR="00DB36B5">
              <w:t xml:space="preserve">catheterization </w:t>
            </w:r>
            <w:r w:rsidR="0013165D">
              <w:t>(slides #10 to 12</w:t>
            </w:r>
            <w:r w:rsidRPr="00F44C55">
              <w:t>)</w:t>
            </w:r>
          </w:p>
          <w:p w:rsidR="00F44C55" w:rsidRPr="00F44C55" w:rsidRDefault="00F44C55" w:rsidP="002420E2">
            <w:pPr>
              <w:pStyle w:val="ListParagraph"/>
              <w:numPr>
                <w:ilvl w:val="0"/>
                <w:numId w:val="16"/>
              </w:numPr>
              <w:spacing w:before="120" w:after="120"/>
            </w:pPr>
            <w:r w:rsidRPr="00F44C55">
              <w:t>Divide the room into small groups</w:t>
            </w:r>
            <w:r w:rsidR="00BA5876">
              <w:t xml:space="preserve"> and</w:t>
            </w:r>
            <w:r w:rsidRPr="00F44C55">
              <w:t xml:space="preserve"> give them a worksheet that compares her outpatient and discharge medications</w:t>
            </w:r>
            <w:r w:rsidR="0081341B">
              <w:t xml:space="preserve"> (</w:t>
            </w:r>
            <w:r w:rsidR="0013165D">
              <w:t xml:space="preserve">slide </w:t>
            </w:r>
            <w:r w:rsidR="00BA5876">
              <w:t>#</w:t>
            </w:r>
            <w:r w:rsidR="0013165D">
              <w:t>13)</w:t>
            </w:r>
            <w:r w:rsidRPr="00F44C55">
              <w:t>. Ask the groups to discontinue all nonessential medications and replace brand name medications with less expensive alternatives. Have them estimate the monthly costs of the outpatient and discharge medication lists.</w:t>
            </w:r>
            <w:r w:rsidR="00BA5876">
              <w:t xml:space="preserve"> Use I</w:t>
            </w:r>
            <w:r w:rsidR="00DB36B5">
              <w:t>nternet websites (e.g.</w:t>
            </w:r>
            <w:r w:rsidR="00BA5876">
              <w:t>,</w:t>
            </w:r>
            <w:r w:rsidR="00DB36B5">
              <w:t xml:space="preserve"> individual stores, </w:t>
            </w:r>
            <w:hyperlink r:id="rId12" w:history="1">
              <w:r w:rsidR="00DB36B5" w:rsidRPr="00791A90">
                <w:rPr>
                  <w:rStyle w:val="Hyperlink"/>
                </w:rPr>
                <w:t>www.GoodRx.com</w:t>
              </w:r>
            </w:hyperlink>
            <w:r w:rsidR="00DB36B5">
              <w:t>, others) to get medication cost information.</w:t>
            </w:r>
          </w:p>
          <w:p w:rsidR="00F44C55" w:rsidRPr="00F44C55" w:rsidRDefault="00F44C55" w:rsidP="002420E2">
            <w:pPr>
              <w:pStyle w:val="ListParagraph"/>
              <w:numPr>
                <w:ilvl w:val="0"/>
                <w:numId w:val="16"/>
              </w:numPr>
              <w:spacing w:before="120" w:after="120"/>
            </w:pPr>
            <w:r w:rsidRPr="00F44C55">
              <w:t>Have the groups share their decisions with the larger group</w:t>
            </w:r>
          </w:p>
          <w:p w:rsidR="00F44C55" w:rsidRPr="00F44C55" w:rsidRDefault="00F44C55" w:rsidP="002420E2">
            <w:pPr>
              <w:pStyle w:val="ListParagraph"/>
              <w:numPr>
                <w:ilvl w:val="0"/>
                <w:numId w:val="16"/>
              </w:numPr>
              <w:spacing w:before="120" w:after="120"/>
            </w:pPr>
            <w:r w:rsidRPr="00F44C55">
              <w:t>Ask them to vote on the dollar amount saved by simplifying the regimen and switching to generics</w:t>
            </w:r>
            <w:r w:rsidR="00BA5876">
              <w:t>;</w:t>
            </w:r>
            <w:r w:rsidRPr="00F44C55">
              <w:t xml:space="preserve"> give a prize to </w:t>
            </w:r>
            <w:r w:rsidR="0013165D">
              <w:t>the winning team. Show slide #14</w:t>
            </w:r>
            <w:r w:rsidRPr="00F44C55">
              <w:t xml:space="preserve"> (has lists with costs side by side)</w:t>
            </w:r>
            <w:r w:rsidR="00BA5876">
              <w:t>.</w:t>
            </w:r>
          </w:p>
          <w:p w:rsidR="00DB36B5" w:rsidRPr="00F44C55" w:rsidRDefault="00F44C55" w:rsidP="002420E2">
            <w:pPr>
              <w:pStyle w:val="ListParagraph"/>
              <w:numPr>
                <w:ilvl w:val="0"/>
                <w:numId w:val="16"/>
              </w:numPr>
              <w:spacing w:before="120" w:after="120"/>
            </w:pPr>
            <w:r w:rsidRPr="00F44C55">
              <w:t>Provide tips to improve medication recon</w:t>
            </w:r>
            <w:r w:rsidR="00DB36B5">
              <w:t>ci</w:t>
            </w:r>
            <w:r w:rsidR="0013165D">
              <w:t>liation at discharge (slides #15 and 16</w:t>
            </w:r>
            <w:r w:rsidR="00DB36B5">
              <w:t>)</w:t>
            </w:r>
          </w:p>
        </w:tc>
        <w:tc>
          <w:tcPr>
            <w:tcW w:w="1620" w:type="dxa"/>
          </w:tcPr>
          <w:p w:rsidR="00F44C55" w:rsidRPr="00F44C55" w:rsidRDefault="00F44C55" w:rsidP="002420E2">
            <w:pPr>
              <w:spacing w:before="120" w:after="120"/>
              <w:jc w:val="center"/>
            </w:pPr>
            <w:r w:rsidRPr="00F44C55">
              <w:t>15 minutes</w:t>
            </w:r>
          </w:p>
        </w:tc>
      </w:tr>
      <w:tr w:rsidR="00DB36B5" w:rsidRPr="00A45171" w:rsidTr="002D5B24">
        <w:tc>
          <w:tcPr>
            <w:tcW w:w="648" w:type="dxa"/>
          </w:tcPr>
          <w:p w:rsidR="00DB36B5" w:rsidRPr="00F44C55" w:rsidRDefault="00DB36B5" w:rsidP="002420E2">
            <w:pPr>
              <w:spacing w:before="120" w:after="120"/>
              <w:jc w:val="center"/>
            </w:pPr>
            <w:r>
              <w:t>6</w:t>
            </w:r>
          </w:p>
        </w:tc>
        <w:tc>
          <w:tcPr>
            <w:tcW w:w="8190" w:type="dxa"/>
          </w:tcPr>
          <w:p w:rsidR="00DB36B5" w:rsidRDefault="00DB36B5" w:rsidP="002420E2">
            <w:pPr>
              <w:spacing w:before="120" w:after="120"/>
            </w:pPr>
            <w:r>
              <w:t xml:space="preserve">Case </w:t>
            </w:r>
            <w:r w:rsidR="00BA5876">
              <w:t>T</w:t>
            </w:r>
            <w:r>
              <w:t>hree – Techniques to Cut Prescription Drug Costs</w:t>
            </w:r>
          </w:p>
          <w:p w:rsidR="00DB36B5" w:rsidRDefault="00DB36B5" w:rsidP="00F96187">
            <w:pPr>
              <w:numPr>
                <w:ilvl w:val="0"/>
                <w:numId w:val="23"/>
              </w:numPr>
              <w:spacing w:before="120" w:after="120"/>
              <w:ind w:left="346"/>
              <w:contextualSpacing/>
            </w:pPr>
            <w:r>
              <w:t>Present a man with newly</w:t>
            </w:r>
            <w:r w:rsidR="0013165D">
              <w:t xml:space="preserve"> diagnosed lymphoma (slides #17 and 18</w:t>
            </w:r>
            <w:r>
              <w:t>)</w:t>
            </w:r>
          </w:p>
          <w:p w:rsidR="00DB36B5" w:rsidRDefault="00DB36B5" w:rsidP="00F96187">
            <w:pPr>
              <w:numPr>
                <w:ilvl w:val="0"/>
                <w:numId w:val="23"/>
              </w:numPr>
              <w:spacing w:before="120" w:after="120"/>
              <w:ind w:left="346"/>
              <w:contextualSpacing/>
            </w:pPr>
            <w:r>
              <w:t>Review some techniques that are available to decrease cost of drugs</w:t>
            </w:r>
            <w:r w:rsidR="0013165D">
              <w:t xml:space="preserve"> (slide #19</w:t>
            </w:r>
            <w:r w:rsidR="0081341B">
              <w:t>)</w:t>
            </w:r>
          </w:p>
          <w:p w:rsidR="00DB36B5" w:rsidRDefault="00DB36B5" w:rsidP="00F96187">
            <w:pPr>
              <w:numPr>
                <w:ilvl w:val="0"/>
                <w:numId w:val="23"/>
              </w:numPr>
              <w:spacing w:before="120" w:after="120"/>
              <w:ind w:left="346"/>
              <w:contextualSpacing/>
            </w:pPr>
            <w:r>
              <w:t>Recognize that often there is  more than one medication for</w:t>
            </w:r>
            <w:r w:rsidR="0081341B">
              <w:t xml:space="preserve"> </w:t>
            </w:r>
            <w:r w:rsidR="0013165D">
              <w:t>a given purpose/need (slide #20</w:t>
            </w:r>
            <w:r>
              <w:t>)</w:t>
            </w:r>
          </w:p>
          <w:p w:rsidR="007D7ED1" w:rsidRPr="00F44C55" w:rsidRDefault="007D7ED1" w:rsidP="00F96187">
            <w:pPr>
              <w:numPr>
                <w:ilvl w:val="0"/>
                <w:numId w:val="23"/>
              </w:numPr>
              <w:spacing w:before="120" w:after="120"/>
              <w:ind w:left="346"/>
              <w:contextualSpacing/>
            </w:pPr>
            <w:r>
              <w:t>Present exampl</w:t>
            </w:r>
            <w:r w:rsidR="0081341B">
              <w:t>e o</w:t>
            </w:r>
            <w:r w:rsidR="0013165D">
              <w:t>f cost comparisons (slide #21</w:t>
            </w:r>
            <w:r>
              <w:t>). This shows</w:t>
            </w:r>
            <w:r w:rsidR="0081341B">
              <w:t xml:space="preserve"> </w:t>
            </w:r>
            <w:r>
              <w:t>effects of choice of medication;  generic vs. brand name; shopping around; pill splitting (e.g.</w:t>
            </w:r>
            <w:r w:rsidR="00F96187">
              <w:t>,</w:t>
            </w:r>
            <w:r>
              <w:t xml:space="preserve"> ondansetron</w:t>
            </w:r>
            <w:r w:rsidR="00F96187">
              <w:t>,</w:t>
            </w:r>
            <w:r>
              <w:t xml:space="preserve"> 4 mg </w:t>
            </w:r>
            <w:r w:rsidR="00F96187">
              <w:t xml:space="preserve">as </w:t>
            </w:r>
            <w:r>
              <w:t>needed)</w:t>
            </w:r>
          </w:p>
        </w:tc>
        <w:tc>
          <w:tcPr>
            <w:tcW w:w="1620" w:type="dxa"/>
          </w:tcPr>
          <w:p w:rsidR="00DB36B5" w:rsidRPr="00F44C55" w:rsidRDefault="00830702" w:rsidP="002420E2">
            <w:pPr>
              <w:spacing w:before="120" w:after="120"/>
              <w:jc w:val="center"/>
            </w:pPr>
            <w:r>
              <w:t>10 minutes</w:t>
            </w:r>
          </w:p>
        </w:tc>
      </w:tr>
      <w:tr w:rsidR="00F44C55" w:rsidRPr="00A45171" w:rsidTr="002D5B24">
        <w:tc>
          <w:tcPr>
            <w:tcW w:w="648" w:type="dxa"/>
          </w:tcPr>
          <w:p w:rsidR="00F44C55" w:rsidRPr="00F44C55" w:rsidRDefault="00DB36B5" w:rsidP="002420E2">
            <w:pPr>
              <w:spacing w:before="120" w:after="120"/>
              <w:jc w:val="center"/>
            </w:pPr>
            <w:r>
              <w:t>7</w:t>
            </w:r>
          </w:p>
        </w:tc>
        <w:tc>
          <w:tcPr>
            <w:tcW w:w="8190" w:type="dxa"/>
          </w:tcPr>
          <w:p w:rsidR="00F44C55" w:rsidRPr="00F44C55" w:rsidRDefault="00F44C55" w:rsidP="002420E2">
            <w:pPr>
              <w:spacing w:before="120" w:after="120"/>
            </w:pPr>
            <w:r w:rsidRPr="00F44C55">
              <w:t>Action Plan: Ask for participants to commit to two things they will start doing and two things they will stop doing based on the session</w:t>
            </w:r>
            <w:r w:rsidR="0013165D">
              <w:t xml:space="preserve"> (slide #23)</w:t>
            </w:r>
            <w:r w:rsidRPr="00F44C55">
              <w:t>.  If there is time, ask for volunteers to share their personal goals</w:t>
            </w:r>
            <w:r w:rsidR="0013165D">
              <w:t>.</w:t>
            </w:r>
          </w:p>
        </w:tc>
        <w:tc>
          <w:tcPr>
            <w:tcW w:w="1620" w:type="dxa"/>
          </w:tcPr>
          <w:p w:rsidR="00F44C55" w:rsidRPr="00F44C55" w:rsidRDefault="00F44C55" w:rsidP="002420E2">
            <w:pPr>
              <w:spacing w:before="120" w:after="120"/>
              <w:jc w:val="center"/>
            </w:pPr>
            <w:r w:rsidRPr="00F44C55">
              <w:t>5 minutes</w:t>
            </w:r>
          </w:p>
        </w:tc>
      </w:tr>
    </w:tbl>
    <w:p w:rsidR="00F44C55" w:rsidRPr="00F44C55" w:rsidRDefault="00F44C55" w:rsidP="00F44C55">
      <w:pPr>
        <w:rPr>
          <w:sz w:val="20"/>
          <w:szCs w:val="20"/>
        </w:rPr>
      </w:pPr>
    </w:p>
    <w:p w:rsidR="00D46152" w:rsidRPr="00F44C55" w:rsidRDefault="00D46152" w:rsidP="00F44C55"/>
    <w:sectPr w:rsidR="00D46152" w:rsidRPr="00F44C55" w:rsidSect="00223A35">
      <w:headerReference w:type="even" r:id="rId13"/>
      <w:headerReference w:type="default" r:id="rId14"/>
      <w:footerReference w:type="even" r:id="rId15"/>
      <w:footerReference w:type="default" r:id="rId16"/>
      <w:pgSz w:w="12240" w:h="15840"/>
      <w:pgMar w:top="72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5AF" w:rsidRDefault="00A555AF" w:rsidP="003D171D">
      <w:r>
        <w:separator/>
      </w:r>
    </w:p>
  </w:endnote>
  <w:endnote w:type="continuationSeparator" w:id="0">
    <w:p w:rsidR="00A555AF" w:rsidRDefault="00A555AF" w:rsidP="003D17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6B5" w:rsidRDefault="00715AEA" w:rsidP="004A580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B36B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B36B5" w:rsidRDefault="00DB36B5" w:rsidP="00B7510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6B5" w:rsidRDefault="00715AEA" w:rsidP="004A580B">
    <w:pPr>
      <w:pStyle w:val="Footer"/>
      <w:framePr w:wrap="around" w:vAnchor="text" w:hAnchor="page" w:x="5941" w:y="527"/>
      <w:rPr>
        <w:rStyle w:val="PageNumber"/>
      </w:rPr>
    </w:pPr>
    <w:r>
      <w:rPr>
        <w:rStyle w:val="PageNumber"/>
      </w:rPr>
      <w:fldChar w:fldCharType="begin"/>
    </w:r>
    <w:r w:rsidR="00DB36B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113A3">
      <w:rPr>
        <w:rStyle w:val="PageNumber"/>
        <w:noProof/>
      </w:rPr>
      <w:t>3</w:t>
    </w:r>
    <w:r>
      <w:rPr>
        <w:rStyle w:val="PageNumber"/>
      </w:rPr>
      <w:fldChar w:fldCharType="end"/>
    </w:r>
  </w:p>
  <w:p w:rsidR="00DB36B5" w:rsidRDefault="00715AEA" w:rsidP="005A09B6">
    <w:pPr>
      <w:pStyle w:val="Footer"/>
      <w:tabs>
        <w:tab w:val="clear" w:pos="4680"/>
        <w:tab w:val="clear" w:pos="9360"/>
        <w:tab w:val="center" w:pos="4320"/>
        <w:tab w:val="right" w:pos="9900"/>
      </w:tabs>
      <w:spacing w:before="240"/>
      <w:ind w:left="-90"/>
    </w:pPr>
    <w:r>
      <w:rPr>
        <w:noProof/>
      </w:rPr>
      <w:pict>
        <v:line id="Line 3" o:spid="_x0000_s10241" style="position:absolute;left:0;text-align:left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4pt,-3.75pt" to="8in,-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" strokecolor="#17365d" strokeweight="1pt">
          <v:shadow opacity="22938f" offset="0"/>
        </v:line>
      </w:pict>
    </w:r>
    <w:r w:rsidR="004259F9">
      <w:rPr>
        <w:rFonts w:ascii="Trebuchet MS" w:hAnsi="Trebuchet MS"/>
        <w:noProof/>
      </w:rPr>
      <w:drawing>
        <wp:inline distT="0" distB="0" distL="0" distR="0">
          <wp:extent cx="2714625" cy="314325"/>
          <wp:effectExtent l="0" t="0" r="9525" b="9525"/>
          <wp:docPr id="2" name="Picture 2" descr="acp-logo-horiz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cp-logo-horiz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B36B5" w:rsidRPr="004F1393">
      <w:rPr>
        <w:rFonts w:ascii="Trebuchet MS" w:hAnsi="Trebuchet MS"/>
      </w:rPr>
      <w:tab/>
    </w:r>
    <w:r w:rsidR="00DB36B5">
      <w:rPr>
        <w:rFonts w:ascii="Trebuchet MS" w:hAnsi="Trebuchet MS"/>
      </w:rPr>
      <w:tab/>
    </w:r>
    <w:r w:rsidR="004259F9">
      <w:rPr>
        <w:rFonts w:ascii="Trebuchet MS" w:hAnsi="Trebuchet MS"/>
        <w:noProof/>
      </w:rPr>
      <w:drawing>
        <wp:inline distT="0" distB="0" distL="0" distR="0">
          <wp:extent cx="1143000" cy="371475"/>
          <wp:effectExtent l="0" t="0" r="0" b="9525"/>
          <wp:docPr id="3" name="Picture 5" descr="aaim_logo_4colorproces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aim_logo_4colorprocess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5AF" w:rsidRDefault="00A555AF" w:rsidP="003D171D">
      <w:r>
        <w:separator/>
      </w:r>
    </w:p>
  </w:footnote>
  <w:footnote w:type="continuationSeparator" w:id="0">
    <w:p w:rsidR="00A555AF" w:rsidRDefault="00A555AF" w:rsidP="003D17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6B5" w:rsidRDefault="00715AEA" w:rsidP="00EA473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B36B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B36B5" w:rsidRDefault="00DB36B5" w:rsidP="00EA4732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6B5" w:rsidRPr="00633683" w:rsidRDefault="00715AEA" w:rsidP="006D7F6D">
    <w:pPr>
      <w:ind w:left="-360"/>
      <w:rPr>
        <w:b/>
        <w:bCs/>
        <w:sz w:val="40"/>
      </w:rPr>
    </w:pPr>
    <w:r>
      <w:rPr>
        <w:b/>
        <w:bCs/>
        <w:noProof/>
        <w:sz w:val="4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10243" type="#_x0000_t202" style="position:absolute;left:0;text-align:left;margin-left:3in;margin-top:-9pt;width:315pt;height:6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" filled="f" stroked="f">
          <v:textbox inset=",7.2pt,,7.2pt">
            <w:txbxContent>
              <w:p w:rsidR="00DB36B5" w:rsidRDefault="001B7D00" w:rsidP="00F44C55">
                <w:r>
                  <w:rPr>
                    <w:b/>
                    <w:bCs/>
                    <w:sz w:val="40"/>
                  </w:rPr>
                  <w:t>High Value Medication Prescribing</w:t>
                </w:r>
              </w:p>
              <w:p w:rsidR="00DB36B5" w:rsidRPr="002E0F7D" w:rsidRDefault="00DB36B5" w:rsidP="00C67ADB">
                <w:pPr>
                  <w:spacing w:line="400" w:lineRule="exact"/>
                  <w:rPr>
                    <w:sz w:val="36"/>
                    <w:szCs w:val="36"/>
                  </w:rPr>
                </w:pPr>
              </w:p>
            </w:txbxContent>
          </v:textbox>
        </v:shape>
      </w:pict>
    </w:r>
    <w:r w:rsidR="004259F9">
      <w:rPr>
        <w:b/>
        <w:bCs/>
        <w:noProof/>
        <w:sz w:val="40"/>
      </w:rPr>
      <w:drawing>
        <wp:inline distT="0" distB="0" distL="0" distR="0">
          <wp:extent cx="2324100" cy="466725"/>
          <wp:effectExtent l="0" t="0" r="0" b="9525"/>
          <wp:docPr id="1" name="Picture 1" descr="acp-highvaluecare-logo-rgb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p-highvaluecare-logo-rgb6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B36B5" w:rsidRPr="00633683" w:rsidRDefault="00DB36B5" w:rsidP="006D7F6D">
    <w:pPr>
      <w:pStyle w:val="Header"/>
      <w:tabs>
        <w:tab w:val="clear" w:pos="9360"/>
        <w:tab w:val="right" w:pos="9810"/>
      </w:tabs>
      <w:ind w:right="360"/>
      <w:jc w:val="right"/>
    </w:pPr>
  </w:p>
  <w:p w:rsidR="00DB36B5" w:rsidRPr="00633683" w:rsidRDefault="00715AEA" w:rsidP="006D7F6D">
    <w:pPr>
      <w:pStyle w:val="Header"/>
      <w:tabs>
        <w:tab w:val="clear" w:pos="9360"/>
        <w:tab w:val="right" w:pos="9810"/>
      </w:tabs>
      <w:ind w:right="360"/>
      <w:jc w:val="right"/>
    </w:pPr>
    <w:r>
      <w:rPr>
        <w:noProof/>
      </w:rPr>
      <w:pict>
        <v:line id="Line 2" o:spid="_x0000_s10242" style="position:absolute;left:0;text-align:left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4pt,3.25pt" to="594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" strokecolor="#17365d" strokeweight="1pt">
          <v:shadow opacity="22938f" offset="0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4073A"/>
    <w:multiLevelType w:val="hybridMultilevel"/>
    <w:tmpl w:val="C3A2CB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D2E8E"/>
    <w:multiLevelType w:val="hybridMultilevel"/>
    <w:tmpl w:val="728CF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E0CD1"/>
    <w:multiLevelType w:val="hybridMultilevel"/>
    <w:tmpl w:val="E31A17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583167A"/>
    <w:multiLevelType w:val="hybridMultilevel"/>
    <w:tmpl w:val="148A67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67B3E34"/>
    <w:multiLevelType w:val="hybridMultilevel"/>
    <w:tmpl w:val="12D61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396C5F"/>
    <w:multiLevelType w:val="hybridMultilevel"/>
    <w:tmpl w:val="A446C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62554"/>
    <w:multiLevelType w:val="hybridMultilevel"/>
    <w:tmpl w:val="A7804EF6"/>
    <w:lvl w:ilvl="0" w:tplc="0409000F">
      <w:start w:val="1"/>
      <w:numFmt w:val="decimal"/>
      <w:pStyle w:val="ListBullet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67473F8"/>
    <w:multiLevelType w:val="hybridMultilevel"/>
    <w:tmpl w:val="3A24D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E1477C"/>
    <w:multiLevelType w:val="hybridMultilevel"/>
    <w:tmpl w:val="A446C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403940"/>
    <w:multiLevelType w:val="hybridMultilevel"/>
    <w:tmpl w:val="00B67C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452609D"/>
    <w:multiLevelType w:val="hybridMultilevel"/>
    <w:tmpl w:val="73E82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0F6F89"/>
    <w:multiLevelType w:val="hybridMultilevel"/>
    <w:tmpl w:val="5B2E6A0C"/>
    <w:lvl w:ilvl="0" w:tplc="AB683F84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1A629A22" w:tentative="1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71880DA8" w:tentative="1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</w:lvl>
    <w:lvl w:ilvl="3" w:tplc="292AAB4C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2A02E216" w:tentative="1">
      <w:start w:val="1"/>
      <w:numFmt w:val="decimal"/>
      <w:lvlText w:val="%5."/>
      <w:lvlJc w:val="left"/>
      <w:pPr>
        <w:tabs>
          <w:tab w:val="num" w:pos="3330"/>
        </w:tabs>
        <w:ind w:left="3330" w:hanging="360"/>
      </w:pPr>
    </w:lvl>
    <w:lvl w:ilvl="5" w:tplc="1E2ABA8A" w:tentative="1">
      <w:start w:val="1"/>
      <w:numFmt w:val="decimal"/>
      <w:lvlText w:val="%6."/>
      <w:lvlJc w:val="left"/>
      <w:pPr>
        <w:tabs>
          <w:tab w:val="num" w:pos="4050"/>
        </w:tabs>
        <w:ind w:left="4050" w:hanging="360"/>
      </w:pPr>
    </w:lvl>
    <w:lvl w:ilvl="6" w:tplc="EAE27B34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6A8CA5E" w:tentative="1">
      <w:start w:val="1"/>
      <w:numFmt w:val="decimal"/>
      <w:lvlText w:val="%8."/>
      <w:lvlJc w:val="left"/>
      <w:pPr>
        <w:tabs>
          <w:tab w:val="num" w:pos="5490"/>
        </w:tabs>
        <w:ind w:left="5490" w:hanging="360"/>
      </w:pPr>
    </w:lvl>
    <w:lvl w:ilvl="8" w:tplc="0358C48E" w:tentative="1">
      <w:start w:val="1"/>
      <w:numFmt w:val="decimal"/>
      <w:lvlText w:val="%9."/>
      <w:lvlJc w:val="left"/>
      <w:pPr>
        <w:tabs>
          <w:tab w:val="num" w:pos="6210"/>
        </w:tabs>
        <w:ind w:left="6210" w:hanging="360"/>
      </w:pPr>
    </w:lvl>
  </w:abstractNum>
  <w:abstractNum w:abstractNumId="12">
    <w:nsid w:val="3D202224"/>
    <w:multiLevelType w:val="hybridMultilevel"/>
    <w:tmpl w:val="3620BE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1505CE2"/>
    <w:multiLevelType w:val="hybridMultilevel"/>
    <w:tmpl w:val="7AF0C96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E25708"/>
    <w:multiLevelType w:val="hybridMultilevel"/>
    <w:tmpl w:val="497A3F10"/>
    <w:lvl w:ilvl="0" w:tplc="A6548BF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53C1BA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700186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6BC885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86C494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4AEF71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FAA81E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592ED1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0E8C98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48047272"/>
    <w:multiLevelType w:val="hybridMultilevel"/>
    <w:tmpl w:val="F3689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425B25"/>
    <w:multiLevelType w:val="hybridMultilevel"/>
    <w:tmpl w:val="E95ADA4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>
    <w:nsid w:val="4DDD62E7"/>
    <w:multiLevelType w:val="hybridMultilevel"/>
    <w:tmpl w:val="31981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515D5D"/>
    <w:multiLevelType w:val="hybridMultilevel"/>
    <w:tmpl w:val="204A364C"/>
    <w:lvl w:ilvl="0" w:tplc="805A7E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A46B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56AB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E231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1A9A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FA8B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7C96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E62C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D4F4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56B47974"/>
    <w:multiLevelType w:val="hybridMultilevel"/>
    <w:tmpl w:val="43FA3968"/>
    <w:lvl w:ilvl="0" w:tplc="A7B2E0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30EB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587F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70FF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6060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6859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022D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6CD5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5837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A664F97"/>
    <w:multiLevelType w:val="hybridMultilevel"/>
    <w:tmpl w:val="11BA78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BE41480"/>
    <w:multiLevelType w:val="hybridMultilevel"/>
    <w:tmpl w:val="2F14858C"/>
    <w:lvl w:ilvl="0" w:tplc="0409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22">
    <w:nsid w:val="67E21734"/>
    <w:multiLevelType w:val="hybridMultilevel"/>
    <w:tmpl w:val="D33A01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9E5333C"/>
    <w:multiLevelType w:val="hybridMultilevel"/>
    <w:tmpl w:val="647C52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AEC2B08"/>
    <w:multiLevelType w:val="hybridMultilevel"/>
    <w:tmpl w:val="69E874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457849"/>
    <w:multiLevelType w:val="hybridMultilevel"/>
    <w:tmpl w:val="A716ABA6"/>
    <w:lvl w:ilvl="0" w:tplc="0409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26">
    <w:nsid w:val="6EF5706A"/>
    <w:multiLevelType w:val="hybridMultilevel"/>
    <w:tmpl w:val="A484F9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F096394"/>
    <w:multiLevelType w:val="hybridMultilevel"/>
    <w:tmpl w:val="3E56C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692073"/>
    <w:multiLevelType w:val="hybridMultilevel"/>
    <w:tmpl w:val="2FE85FE0"/>
    <w:lvl w:ilvl="0" w:tplc="9C5047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4E35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E691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0A7E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BCF5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4E3F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56DF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E479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1601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2"/>
  </w:num>
  <w:num w:numId="2">
    <w:abstractNumId w:val="20"/>
  </w:num>
  <w:num w:numId="3">
    <w:abstractNumId w:val="6"/>
  </w:num>
  <w:num w:numId="4">
    <w:abstractNumId w:val="16"/>
  </w:num>
  <w:num w:numId="5">
    <w:abstractNumId w:val="7"/>
  </w:num>
  <w:num w:numId="6">
    <w:abstractNumId w:val="11"/>
  </w:num>
  <w:num w:numId="7">
    <w:abstractNumId w:val="0"/>
  </w:num>
  <w:num w:numId="8">
    <w:abstractNumId w:val="26"/>
  </w:num>
  <w:num w:numId="9">
    <w:abstractNumId w:val="3"/>
  </w:num>
  <w:num w:numId="10">
    <w:abstractNumId w:val="2"/>
  </w:num>
  <w:num w:numId="11">
    <w:abstractNumId w:val="4"/>
  </w:num>
  <w:num w:numId="12">
    <w:abstractNumId w:val="15"/>
  </w:num>
  <w:num w:numId="13">
    <w:abstractNumId w:val="13"/>
  </w:num>
  <w:num w:numId="14">
    <w:abstractNumId w:val="23"/>
  </w:num>
  <w:num w:numId="15">
    <w:abstractNumId w:val="9"/>
  </w:num>
  <w:num w:numId="16">
    <w:abstractNumId w:val="25"/>
  </w:num>
  <w:num w:numId="17">
    <w:abstractNumId w:val="17"/>
  </w:num>
  <w:num w:numId="18">
    <w:abstractNumId w:val="14"/>
  </w:num>
  <w:num w:numId="19">
    <w:abstractNumId w:val="21"/>
  </w:num>
  <w:num w:numId="20">
    <w:abstractNumId w:val="22"/>
  </w:num>
  <w:num w:numId="21">
    <w:abstractNumId w:val="18"/>
  </w:num>
  <w:num w:numId="22">
    <w:abstractNumId w:val="19"/>
  </w:num>
  <w:num w:numId="23">
    <w:abstractNumId w:val="1"/>
  </w:num>
  <w:num w:numId="24">
    <w:abstractNumId w:val="28"/>
  </w:num>
  <w:num w:numId="25">
    <w:abstractNumId w:val="8"/>
  </w:num>
  <w:num w:numId="26">
    <w:abstractNumId w:val="5"/>
  </w:num>
  <w:num w:numId="27">
    <w:abstractNumId w:val="24"/>
  </w:num>
  <w:num w:numId="28">
    <w:abstractNumId w:val="27"/>
  </w:num>
  <w:num w:numId="29">
    <w:abstractNumId w:val="10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hdrShapeDefaults>
    <o:shapedefaults v:ext="edit" spidmax="10245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3D171D"/>
    <w:rsid w:val="000014EB"/>
    <w:rsid w:val="00022A14"/>
    <w:rsid w:val="0003625E"/>
    <w:rsid w:val="000554C5"/>
    <w:rsid w:val="000809B5"/>
    <w:rsid w:val="000A0324"/>
    <w:rsid w:val="000B64C2"/>
    <w:rsid w:val="000B6B2B"/>
    <w:rsid w:val="000C066A"/>
    <w:rsid w:val="000C145A"/>
    <w:rsid w:val="000C6B97"/>
    <w:rsid w:val="000D3670"/>
    <w:rsid w:val="000E63F1"/>
    <w:rsid w:val="00102E50"/>
    <w:rsid w:val="00113F48"/>
    <w:rsid w:val="001305AD"/>
    <w:rsid w:val="0013165D"/>
    <w:rsid w:val="00182356"/>
    <w:rsid w:val="00182BE8"/>
    <w:rsid w:val="001940CB"/>
    <w:rsid w:val="00197975"/>
    <w:rsid w:val="001A06D4"/>
    <w:rsid w:val="001A6C5E"/>
    <w:rsid w:val="001A7409"/>
    <w:rsid w:val="001B7D00"/>
    <w:rsid w:val="001D6DDD"/>
    <w:rsid w:val="001E0FAA"/>
    <w:rsid w:val="001E6E90"/>
    <w:rsid w:val="00223A35"/>
    <w:rsid w:val="00240DEE"/>
    <w:rsid w:val="002420E2"/>
    <w:rsid w:val="00253968"/>
    <w:rsid w:val="00263209"/>
    <w:rsid w:val="00263717"/>
    <w:rsid w:val="002645CA"/>
    <w:rsid w:val="00272D15"/>
    <w:rsid w:val="00295FC4"/>
    <w:rsid w:val="002A47E8"/>
    <w:rsid w:val="002C2C5C"/>
    <w:rsid w:val="002C3A9C"/>
    <w:rsid w:val="002C4B4E"/>
    <w:rsid w:val="002D3738"/>
    <w:rsid w:val="002D5B24"/>
    <w:rsid w:val="002D7A34"/>
    <w:rsid w:val="002D7A7F"/>
    <w:rsid w:val="002E05C6"/>
    <w:rsid w:val="002E0F7D"/>
    <w:rsid w:val="002E1ED3"/>
    <w:rsid w:val="002E5BEE"/>
    <w:rsid w:val="002F74FC"/>
    <w:rsid w:val="00302E58"/>
    <w:rsid w:val="00353262"/>
    <w:rsid w:val="00380E68"/>
    <w:rsid w:val="003874E2"/>
    <w:rsid w:val="003A783B"/>
    <w:rsid w:val="003B213C"/>
    <w:rsid w:val="003D171D"/>
    <w:rsid w:val="003D4A37"/>
    <w:rsid w:val="003E6163"/>
    <w:rsid w:val="003F2A0E"/>
    <w:rsid w:val="004036C9"/>
    <w:rsid w:val="004131DD"/>
    <w:rsid w:val="004259F9"/>
    <w:rsid w:val="00441298"/>
    <w:rsid w:val="00445E69"/>
    <w:rsid w:val="004530C9"/>
    <w:rsid w:val="00453258"/>
    <w:rsid w:val="00467DFA"/>
    <w:rsid w:val="004A580B"/>
    <w:rsid w:val="004B6D4D"/>
    <w:rsid w:val="004C2EAE"/>
    <w:rsid w:val="004D1504"/>
    <w:rsid w:val="004E047C"/>
    <w:rsid w:val="004E112F"/>
    <w:rsid w:val="004E5ECA"/>
    <w:rsid w:val="004E5FD8"/>
    <w:rsid w:val="004E7305"/>
    <w:rsid w:val="004F1393"/>
    <w:rsid w:val="00501452"/>
    <w:rsid w:val="00512EF6"/>
    <w:rsid w:val="00540372"/>
    <w:rsid w:val="00543C4B"/>
    <w:rsid w:val="00544417"/>
    <w:rsid w:val="0054783D"/>
    <w:rsid w:val="005A09B6"/>
    <w:rsid w:val="005C2A6F"/>
    <w:rsid w:val="005F208F"/>
    <w:rsid w:val="005F43DB"/>
    <w:rsid w:val="006145CB"/>
    <w:rsid w:val="00633683"/>
    <w:rsid w:val="00661B01"/>
    <w:rsid w:val="00664EEE"/>
    <w:rsid w:val="00677790"/>
    <w:rsid w:val="006B00C0"/>
    <w:rsid w:val="006B047F"/>
    <w:rsid w:val="006D06BF"/>
    <w:rsid w:val="006D3E66"/>
    <w:rsid w:val="006D7F6D"/>
    <w:rsid w:val="006F20BE"/>
    <w:rsid w:val="006F76BE"/>
    <w:rsid w:val="00705923"/>
    <w:rsid w:val="00715AEA"/>
    <w:rsid w:val="007430EF"/>
    <w:rsid w:val="00747F20"/>
    <w:rsid w:val="00750990"/>
    <w:rsid w:val="0075136D"/>
    <w:rsid w:val="007915B7"/>
    <w:rsid w:val="00792107"/>
    <w:rsid w:val="007A606A"/>
    <w:rsid w:val="007A7BB6"/>
    <w:rsid w:val="007D21E0"/>
    <w:rsid w:val="007D6EEA"/>
    <w:rsid w:val="007D7ED1"/>
    <w:rsid w:val="007E5CF1"/>
    <w:rsid w:val="0081341B"/>
    <w:rsid w:val="00830702"/>
    <w:rsid w:val="008320C5"/>
    <w:rsid w:val="00835457"/>
    <w:rsid w:val="00842E87"/>
    <w:rsid w:val="00846801"/>
    <w:rsid w:val="00851332"/>
    <w:rsid w:val="00880AE6"/>
    <w:rsid w:val="008856CF"/>
    <w:rsid w:val="008A07F8"/>
    <w:rsid w:val="008B2B32"/>
    <w:rsid w:val="008C7124"/>
    <w:rsid w:val="008D3E05"/>
    <w:rsid w:val="008E36D9"/>
    <w:rsid w:val="0091314E"/>
    <w:rsid w:val="00946EDF"/>
    <w:rsid w:val="00953E2C"/>
    <w:rsid w:val="00963E92"/>
    <w:rsid w:val="00972A15"/>
    <w:rsid w:val="0098185A"/>
    <w:rsid w:val="00987888"/>
    <w:rsid w:val="0099237C"/>
    <w:rsid w:val="009A2C3D"/>
    <w:rsid w:val="009B5ABF"/>
    <w:rsid w:val="009E0B07"/>
    <w:rsid w:val="00A02B3D"/>
    <w:rsid w:val="00A11C72"/>
    <w:rsid w:val="00A2157C"/>
    <w:rsid w:val="00A31642"/>
    <w:rsid w:val="00A35E5F"/>
    <w:rsid w:val="00A523C7"/>
    <w:rsid w:val="00A555AF"/>
    <w:rsid w:val="00A66275"/>
    <w:rsid w:val="00A774CF"/>
    <w:rsid w:val="00A820D0"/>
    <w:rsid w:val="00A85A08"/>
    <w:rsid w:val="00AB5002"/>
    <w:rsid w:val="00AC7706"/>
    <w:rsid w:val="00AD3E69"/>
    <w:rsid w:val="00AE77BE"/>
    <w:rsid w:val="00B332B9"/>
    <w:rsid w:val="00B5510D"/>
    <w:rsid w:val="00B56772"/>
    <w:rsid w:val="00B7510C"/>
    <w:rsid w:val="00B96AD9"/>
    <w:rsid w:val="00BA5876"/>
    <w:rsid w:val="00BB382B"/>
    <w:rsid w:val="00C07FCE"/>
    <w:rsid w:val="00C2138E"/>
    <w:rsid w:val="00C46543"/>
    <w:rsid w:val="00C6520C"/>
    <w:rsid w:val="00C6743B"/>
    <w:rsid w:val="00C67ADB"/>
    <w:rsid w:val="00C81637"/>
    <w:rsid w:val="00CA0FAB"/>
    <w:rsid w:val="00CA274B"/>
    <w:rsid w:val="00CB6F6B"/>
    <w:rsid w:val="00CC4F45"/>
    <w:rsid w:val="00CD79C1"/>
    <w:rsid w:val="00CE09C0"/>
    <w:rsid w:val="00CE11C1"/>
    <w:rsid w:val="00CF0AE6"/>
    <w:rsid w:val="00D15EB0"/>
    <w:rsid w:val="00D36AF5"/>
    <w:rsid w:val="00D46152"/>
    <w:rsid w:val="00D51C32"/>
    <w:rsid w:val="00D83FEE"/>
    <w:rsid w:val="00D95052"/>
    <w:rsid w:val="00DB36B5"/>
    <w:rsid w:val="00DB6FAD"/>
    <w:rsid w:val="00DC54CB"/>
    <w:rsid w:val="00E272B9"/>
    <w:rsid w:val="00E7605D"/>
    <w:rsid w:val="00E90E08"/>
    <w:rsid w:val="00EA026F"/>
    <w:rsid w:val="00EA1B90"/>
    <w:rsid w:val="00EA4732"/>
    <w:rsid w:val="00EC3F0F"/>
    <w:rsid w:val="00EF19EB"/>
    <w:rsid w:val="00F00B41"/>
    <w:rsid w:val="00F0451C"/>
    <w:rsid w:val="00F113A3"/>
    <w:rsid w:val="00F36FED"/>
    <w:rsid w:val="00F41C3A"/>
    <w:rsid w:val="00F44C55"/>
    <w:rsid w:val="00F8293F"/>
    <w:rsid w:val="00F872A5"/>
    <w:rsid w:val="00F96187"/>
    <w:rsid w:val="00F97379"/>
    <w:rsid w:val="00FC2F23"/>
    <w:rsid w:val="00FC6829"/>
    <w:rsid w:val="00FD04E5"/>
    <w:rsid w:val="00FD2B25"/>
    <w:rsid w:val="00FF2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85A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D171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3D171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D171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locked/>
    <w:rsid w:val="003D171D"/>
    <w:rPr>
      <w:rFonts w:cs="Times New Roman"/>
    </w:rPr>
  </w:style>
  <w:style w:type="paragraph" w:styleId="ListParagraph">
    <w:name w:val="List Paragraph"/>
    <w:basedOn w:val="Normal"/>
    <w:uiPriority w:val="34"/>
    <w:qFormat/>
    <w:rsid w:val="003D171D"/>
    <w:pPr>
      <w:ind w:left="720"/>
      <w:contextualSpacing/>
    </w:pPr>
  </w:style>
  <w:style w:type="table" w:styleId="TableGrid">
    <w:name w:val="Table Grid"/>
    <w:basedOn w:val="TableNormal"/>
    <w:uiPriority w:val="99"/>
    <w:rsid w:val="001A06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uiPriority w:val="99"/>
    <w:semiHidden/>
    <w:rsid w:val="00EA4732"/>
    <w:rPr>
      <w:rFonts w:cs="Times New Roman"/>
    </w:rPr>
  </w:style>
  <w:style w:type="table" w:styleId="MediumGrid3-Accent3">
    <w:name w:val="Medium Grid 3 Accent 3"/>
    <w:basedOn w:val="TableNormal"/>
    <w:uiPriority w:val="99"/>
    <w:rsid w:val="00A35E5F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paragraph" w:styleId="ListBullet">
    <w:name w:val="List Bullet"/>
    <w:basedOn w:val="Normal"/>
    <w:uiPriority w:val="99"/>
    <w:rsid w:val="004A580B"/>
    <w:pPr>
      <w:numPr>
        <w:numId w:val="3"/>
      </w:numPr>
      <w:tabs>
        <w:tab w:val="num" w:pos="360"/>
      </w:tabs>
      <w:ind w:left="36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D4A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D4A3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rsid w:val="0035326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E5BE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CellTxtL">
    <w:name w:val="CellTxtL"/>
    <w:basedOn w:val="Normal"/>
    <w:rsid w:val="002C4B4E"/>
    <w:pPr>
      <w:spacing w:before="120" w:after="60"/>
      <w:ind w:left="72"/>
    </w:pPr>
    <w:rPr>
      <w:rFonts w:ascii="Verdana" w:eastAsia="Times New Roman" w:hAnsi="Verdana" w:cs="Verdana"/>
      <w:sz w:val="16"/>
      <w:szCs w:val="16"/>
    </w:rPr>
  </w:style>
  <w:style w:type="paragraph" w:customStyle="1" w:styleId="ColHdL">
    <w:name w:val="ColHdL"/>
    <w:basedOn w:val="Normal"/>
    <w:rsid w:val="002C4B4E"/>
    <w:pPr>
      <w:spacing w:before="120" w:after="60"/>
      <w:ind w:left="72"/>
    </w:pPr>
    <w:rPr>
      <w:rFonts w:ascii="Verdana" w:eastAsia="Times New Roman" w:hAnsi="Verdana" w:cs="Verdana"/>
      <w:b/>
      <w:bCs/>
      <w:sz w:val="18"/>
      <w:szCs w:val="18"/>
    </w:rPr>
  </w:style>
  <w:style w:type="paragraph" w:customStyle="1" w:styleId="TableTitle">
    <w:name w:val="TableTitle"/>
    <w:basedOn w:val="Normal"/>
    <w:rsid w:val="002C4B4E"/>
    <w:pPr>
      <w:spacing w:before="240" w:after="240"/>
    </w:pPr>
    <w:rPr>
      <w:rFonts w:ascii="Verdana" w:eastAsia="Times New Roman" w:hAnsi="Verdana" w:cs="Verdana"/>
      <w:b/>
      <w:sz w:val="20"/>
      <w:szCs w:val="28"/>
    </w:rPr>
  </w:style>
  <w:style w:type="paragraph" w:customStyle="1" w:styleId="ColHdL2">
    <w:name w:val="ColHdL2"/>
    <w:basedOn w:val="Normal"/>
    <w:qFormat/>
    <w:rsid w:val="002C4B4E"/>
    <w:pPr>
      <w:spacing w:before="120" w:after="60"/>
      <w:ind w:left="72"/>
    </w:pPr>
    <w:rPr>
      <w:rFonts w:ascii="Verdana" w:eastAsia="Times New Roman" w:hAnsi="Verdana" w:cs="Verdana"/>
      <w:b/>
      <w:bCs/>
      <w:color w:val="262626"/>
      <w:sz w:val="18"/>
      <w:szCs w:val="18"/>
    </w:rPr>
  </w:style>
  <w:style w:type="paragraph" w:customStyle="1" w:styleId="ColHdL7">
    <w:name w:val="ColHdL7"/>
    <w:basedOn w:val="ColHdL2"/>
    <w:qFormat/>
    <w:rsid w:val="002C4B4E"/>
  </w:style>
  <w:style w:type="paragraph" w:customStyle="1" w:styleId="Critique">
    <w:name w:val="Critique"/>
    <w:basedOn w:val="Normal"/>
    <w:rsid w:val="00A820D0"/>
    <w:pPr>
      <w:spacing w:before="120" w:after="120" w:line="320" w:lineRule="exact"/>
    </w:pPr>
    <w:rPr>
      <w:rFonts w:ascii="Verdana" w:eastAsia="Times New Roman" w:hAnsi="Verdana"/>
      <w:sz w:val="20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A587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D7A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7A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7A3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7A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7A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85A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D171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3D171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D171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locked/>
    <w:rsid w:val="003D171D"/>
    <w:rPr>
      <w:rFonts w:cs="Times New Roman"/>
    </w:rPr>
  </w:style>
  <w:style w:type="paragraph" w:styleId="ListParagraph">
    <w:name w:val="List Paragraph"/>
    <w:basedOn w:val="Normal"/>
    <w:uiPriority w:val="34"/>
    <w:qFormat/>
    <w:rsid w:val="003D171D"/>
    <w:pPr>
      <w:ind w:left="720"/>
      <w:contextualSpacing/>
    </w:pPr>
  </w:style>
  <w:style w:type="table" w:styleId="TableGrid">
    <w:name w:val="Table Grid"/>
    <w:basedOn w:val="TableNormal"/>
    <w:uiPriority w:val="99"/>
    <w:rsid w:val="001A0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rsid w:val="00EA4732"/>
    <w:rPr>
      <w:rFonts w:cs="Times New Roman"/>
    </w:rPr>
  </w:style>
  <w:style w:type="table" w:styleId="MediumGrid3-Accent3">
    <w:name w:val="Medium Grid 3 Accent 3"/>
    <w:basedOn w:val="TableNormal"/>
    <w:uiPriority w:val="99"/>
    <w:rsid w:val="00A35E5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paragraph" w:styleId="ListBullet">
    <w:name w:val="List Bullet"/>
    <w:basedOn w:val="Normal"/>
    <w:uiPriority w:val="99"/>
    <w:rsid w:val="004A580B"/>
    <w:pPr>
      <w:numPr>
        <w:numId w:val="3"/>
      </w:numPr>
      <w:tabs>
        <w:tab w:val="num" w:pos="360"/>
      </w:tabs>
      <w:ind w:left="36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D4A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D4A3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rsid w:val="0035326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E5BE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CellTxtL">
    <w:name w:val="CellTxtL"/>
    <w:basedOn w:val="Normal"/>
    <w:rsid w:val="002C4B4E"/>
    <w:pPr>
      <w:spacing w:before="120" w:after="60"/>
      <w:ind w:left="72"/>
    </w:pPr>
    <w:rPr>
      <w:rFonts w:ascii="Verdana" w:eastAsia="Times New Roman" w:hAnsi="Verdana" w:cs="Verdana"/>
      <w:sz w:val="16"/>
      <w:szCs w:val="16"/>
    </w:rPr>
  </w:style>
  <w:style w:type="paragraph" w:customStyle="1" w:styleId="ColHdL">
    <w:name w:val="ColHdL"/>
    <w:basedOn w:val="Normal"/>
    <w:rsid w:val="002C4B4E"/>
    <w:pPr>
      <w:spacing w:before="120" w:after="60"/>
      <w:ind w:left="72"/>
    </w:pPr>
    <w:rPr>
      <w:rFonts w:ascii="Verdana" w:eastAsia="Times New Roman" w:hAnsi="Verdana" w:cs="Verdana"/>
      <w:b/>
      <w:bCs/>
      <w:sz w:val="18"/>
      <w:szCs w:val="18"/>
    </w:rPr>
  </w:style>
  <w:style w:type="paragraph" w:customStyle="1" w:styleId="TableTitle">
    <w:name w:val="TableTitle"/>
    <w:basedOn w:val="Normal"/>
    <w:rsid w:val="002C4B4E"/>
    <w:pPr>
      <w:spacing w:before="240" w:after="240"/>
    </w:pPr>
    <w:rPr>
      <w:rFonts w:ascii="Verdana" w:eastAsia="Times New Roman" w:hAnsi="Verdana" w:cs="Verdana"/>
      <w:b/>
      <w:sz w:val="20"/>
      <w:szCs w:val="28"/>
    </w:rPr>
  </w:style>
  <w:style w:type="paragraph" w:customStyle="1" w:styleId="ColHdL2">
    <w:name w:val="ColHdL2"/>
    <w:basedOn w:val="Normal"/>
    <w:qFormat/>
    <w:rsid w:val="002C4B4E"/>
    <w:pPr>
      <w:spacing w:before="120" w:after="60"/>
      <w:ind w:left="72"/>
    </w:pPr>
    <w:rPr>
      <w:rFonts w:ascii="Verdana" w:eastAsia="Times New Roman" w:hAnsi="Verdana" w:cs="Verdana"/>
      <w:b/>
      <w:bCs/>
      <w:color w:val="262626"/>
      <w:sz w:val="18"/>
      <w:szCs w:val="18"/>
    </w:rPr>
  </w:style>
  <w:style w:type="paragraph" w:customStyle="1" w:styleId="ColHdL7">
    <w:name w:val="ColHdL7"/>
    <w:basedOn w:val="ColHdL2"/>
    <w:qFormat/>
    <w:rsid w:val="002C4B4E"/>
  </w:style>
  <w:style w:type="paragraph" w:customStyle="1" w:styleId="Critique">
    <w:name w:val="Critique"/>
    <w:basedOn w:val="Normal"/>
    <w:rsid w:val="00A820D0"/>
    <w:pPr>
      <w:spacing w:before="120" w:after="120" w:line="320" w:lineRule="exact"/>
    </w:pPr>
    <w:rPr>
      <w:rFonts w:ascii="Verdana" w:eastAsia="Times New Roman" w:hAnsi="Verdana"/>
      <w:sz w:val="20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A587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D7A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7A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7A3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7A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7A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01640">
          <w:marLeft w:val="547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131">
          <w:marLeft w:val="547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8172">
          <w:marLeft w:val="547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68555">
          <w:marLeft w:val="547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40605">
          <w:marLeft w:val="547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535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7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7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6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8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6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6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21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991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17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17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0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21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8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6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4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65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78930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51185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22195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4517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4511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54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9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0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05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6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4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2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2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3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018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34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87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3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01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8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cme.org/sites/default/files/630_2011_Annual_Report_20130807.pdf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odRx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licymed.com/2013/02/physician-payment-sunshine-act-final-rule-quick-reference-guide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goodrx.com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Pharmaceutical_marketing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0771C-4DB1-48CB-BB1A-D9FA07789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975</Words>
  <Characters>6020</Characters>
  <Application>Microsoft Office Word</Application>
  <DocSecurity>0</DocSecurity>
  <Lines>50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Description: This guide is intended to help the faculty deliver this 60-minute discussion on health care waste and over-ordering of tests</vt:lpstr>
    </vt:vector>
  </TitlesOfParts>
  <Company>Weill Cornell Medical College</Company>
  <LinksUpToDate>false</LinksUpToDate>
  <CharactersWithSpaces>6982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Description: This guide is intended to help the faculty deliver this 60-minute discussion on health care waste and over-ordering of tests</dc:title>
  <dc:creator>Cynthia Smith</dc:creator>
  <cp:lastModifiedBy>Daisys</cp:lastModifiedBy>
  <cp:revision>11</cp:revision>
  <cp:lastPrinted>2015-08-17T22:08:00Z</cp:lastPrinted>
  <dcterms:created xsi:type="dcterms:W3CDTF">2016-03-16T17:11:00Z</dcterms:created>
  <dcterms:modified xsi:type="dcterms:W3CDTF">2016-03-18T16:39:00Z</dcterms:modified>
</cp:coreProperties>
</file>