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CA" w:rsidRDefault="002C4B4E" w:rsidP="002C4B4E">
      <w:pPr>
        <w:rPr>
          <w:b/>
          <w:sz w:val="28"/>
          <w:szCs w:val="28"/>
        </w:rPr>
      </w:pPr>
      <w:r w:rsidRPr="002C4B4E">
        <w:rPr>
          <w:b/>
          <w:sz w:val="28"/>
          <w:szCs w:val="28"/>
        </w:rPr>
        <w:t xml:space="preserve">Small Group Worksheet </w:t>
      </w:r>
      <w:r w:rsidR="00A51C66">
        <w:rPr>
          <w:b/>
          <w:sz w:val="28"/>
          <w:szCs w:val="28"/>
        </w:rPr>
        <w:t>—</w:t>
      </w:r>
      <w:r w:rsidRPr="002C4B4E">
        <w:rPr>
          <w:b/>
          <w:sz w:val="28"/>
          <w:szCs w:val="28"/>
        </w:rPr>
        <w:t xml:space="preserve"> </w:t>
      </w:r>
      <w:r w:rsidR="004F6A84">
        <w:rPr>
          <w:b/>
          <w:sz w:val="28"/>
          <w:szCs w:val="28"/>
        </w:rPr>
        <w:t xml:space="preserve">PE </w:t>
      </w:r>
      <w:r w:rsidRPr="002C4B4E">
        <w:rPr>
          <w:b/>
          <w:sz w:val="28"/>
          <w:szCs w:val="28"/>
        </w:rPr>
        <w:t>Case</w:t>
      </w:r>
      <w:r w:rsidR="00F26A6E">
        <w:rPr>
          <w:b/>
          <w:sz w:val="28"/>
          <w:szCs w:val="28"/>
        </w:rPr>
        <w:t>s</w:t>
      </w:r>
    </w:p>
    <w:p w:rsidR="002C4B4E" w:rsidRPr="008572CA" w:rsidRDefault="002C4B4E" w:rsidP="002C4B4E">
      <w:pPr>
        <w:rPr>
          <w:b/>
          <w:sz w:val="28"/>
          <w:szCs w:val="28"/>
        </w:rPr>
      </w:pPr>
    </w:p>
    <w:p w:rsidR="00CF4E4A" w:rsidRDefault="002C4B4E" w:rsidP="002C4B4E">
      <w:r w:rsidRPr="002C4B4E">
        <w:rPr>
          <w:b/>
        </w:rPr>
        <w:t>Case 1</w:t>
      </w:r>
      <w:r w:rsidRPr="002C4B4E">
        <w:t>:</w:t>
      </w:r>
      <w:r w:rsidR="00112A5C">
        <w:t xml:space="preserve"> A 32-</w:t>
      </w:r>
      <w:r w:rsidR="00CF4E4A">
        <w:t>year-old</w:t>
      </w:r>
      <w:r w:rsidR="00EC1CD4">
        <w:t xml:space="preserve"> woman currently treated for anxiety presents with a one-day history of acute shortness of breath.</w:t>
      </w:r>
      <w:r w:rsidR="00886F4F">
        <w:t xml:space="preserve"> </w:t>
      </w:r>
      <w:r w:rsidR="00EC1CD4">
        <w:t>She reports that the shortness of breath came on suddenly while she was sitting on her couch watching TV and was associated with a “racing heart</w:t>
      </w:r>
      <w:r w:rsidR="00A51C66">
        <w:t>.</w:t>
      </w:r>
      <w:r w:rsidR="00EC1CD4">
        <w:t>”</w:t>
      </w:r>
      <w:r w:rsidR="00886F4F">
        <w:t xml:space="preserve"> </w:t>
      </w:r>
      <w:r w:rsidR="00EC1CD4">
        <w:t>She says she has experienced these symptoms before when she was diagnosed with a “panic attack</w:t>
      </w:r>
      <w:r w:rsidR="00A51C66">
        <w:t>.</w:t>
      </w:r>
      <w:r w:rsidR="00EC1CD4">
        <w:t>”</w:t>
      </w:r>
      <w:r w:rsidR="00886F4F">
        <w:t xml:space="preserve"> </w:t>
      </w:r>
      <w:r w:rsidR="00112A5C">
        <w:t>She reports n</w:t>
      </w:r>
      <w:r w:rsidR="00EC1CD4">
        <w:t xml:space="preserve">o recent travel, surgery, history of cancer, </w:t>
      </w:r>
      <w:r w:rsidR="00112A5C">
        <w:t xml:space="preserve">or </w:t>
      </w:r>
      <w:r w:rsidR="00EC1CD4">
        <w:t>prior VTE.</w:t>
      </w:r>
      <w:r w:rsidR="00886F4F">
        <w:t xml:space="preserve"> </w:t>
      </w:r>
      <w:r w:rsidR="00EC1CD4">
        <w:t>On exam, heart rate is 90 and lungs are clear to auscultation.</w:t>
      </w:r>
    </w:p>
    <w:p w:rsidR="000F576E" w:rsidRDefault="000F576E" w:rsidP="002C4B4E"/>
    <w:p w:rsidR="000F576E" w:rsidRPr="002C4B4E" w:rsidRDefault="000F576E" w:rsidP="000F576E">
      <w:r w:rsidRPr="00CF4E4A">
        <w:rPr>
          <w:b/>
        </w:rPr>
        <w:t xml:space="preserve">Case </w:t>
      </w:r>
      <w:r>
        <w:rPr>
          <w:b/>
        </w:rPr>
        <w:t>2</w:t>
      </w:r>
      <w:r>
        <w:t xml:space="preserve">: </w:t>
      </w:r>
      <w:r w:rsidR="00112A5C">
        <w:t>A</w:t>
      </w:r>
      <w:r>
        <w:t xml:space="preserve"> 70-year-old woman with breast cancer </w:t>
      </w:r>
      <w:r w:rsidR="00985B19">
        <w:t>(</w:t>
      </w:r>
      <w:r>
        <w:t>currently on chemotherapy</w:t>
      </w:r>
      <w:r w:rsidR="00985B19">
        <w:t>)</w:t>
      </w:r>
      <w:r>
        <w:t xml:space="preserve"> and </w:t>
      </w:r>
      <w:r w:rsidR="00985B19">
        <w:t>history of</w:t>
      </w:r>
      <w:r>
        <w:t xml:space="preserve"> pulmonary embolism two years </w:t>
      </w:r>
      <w:r w:rsidR="00112A5C">
        <w:t>before</w:t>
      </w:r>
      <w:r>
        <w:t xml:space="preserve"> admission presents with acute onset of shortness of breath.</w:t>
      </w:r>
      <w:r w:rsidR="00886F4F">
        <w:t xml:space="preserve"> </w:t>
      </w:r>
      <w:r w:rsidR="00112A5C">
        <w:t>The p</w:t>
      </w:r>
      <w:r>
        <w:t>atient reports that she was recently discharged from the hospital after undergoing hip surgery and was lying in bed recovering when she suddenly became short of breath.</w:t>
      </w:r>
      <w:r w:rsidR="00886F4F">
        <w:t xml:space="preserve"> </w:t>
      </w:r>
      <w:r>
        <w:t>Her shortness of breath is associated with two episodes of h</w:t>
      </w:r>
      <w:r w:rsidR="00112A5C">
        <w:t>emoptysis and</w:t>
      </w:r>
      <w:r w:rsidR="000763C1">
        <w:t xml:space="preserve"> </w:t>
      </w:r>
      <w:r>
        <w:t>calf pain and redness.</w:t>
      </w:r>
      <w:r w:rsidR="00886F4F">
        <w:t xml:space="preserve"> </w:t>
      </w:r>
      <w:r>
        <w:t xml:space="preserve">On exam, </w:t>
      </w:r>
      <w:r w:rsidR="00036B6A">
        <w:t>patient’s weight is 450 lb</w:t>
      </w:r>
      <w:r w:rsidR="00985B19">
        <w:t xml:space="preserve"> (FYI</w:t>
      </w:r>
      <w:r w:rsidR="006D10BF">
        <w:t>,</w:t>
      </w:r>
      <w:r w:rsidR="00985B19">
        <w:t xml:space="preserve"> your CT scan weight limit is 400</w:t>
      </w:r>
      <w:r w:rsidR="00036B6A">
        <w:t xml:space="preserve"> lb</w:t>
      </w:r>
      <w:r w:rsidR="00985B19">
        <w:t xml:space="preserve">), </w:t>
      </w:r>
      <w:r w:rsidR="00112A5C">
        <w:t>heart rate</w:t>
      </w:r>
      <w:r>
        <w:t xml:space="preserve"> is 105, lung sounds are diminished at the bases</w:t>
      </w:r>
      <w:r w:rsidR="006D10BF">
        <w:t>,</w:t>
      </w:r>
      <w:r>
        <w:t xml:space="preserve"> and calf exam reveals erythema and</w:t>
      </w:r>
      <w:r w:rsidR="006D10BF">
        <w:t xml:space="preserve"> a</w:t>
      </w:r>
      <w:r>
        <w:t xml:space="preserve"> positive Homan sign.</w:t>
      </w:r>
    </w:p>
    <w:p w:rsidR="00EC1CD4" w:rsidRDefault="00EC1CD4" w:rsidP="002C4B4E"/>
    <w:p w:rsidR="00CF4E4A" w:rsidRDefault="00EC1CD4" w:rsidP="002C4B4E">
      <w:r w:rsidRPr="00CF4E4A">
        <w:rPr>
          <w:b/>
        </w:rPr>
        <w:t xml:space="preserve">Case </w:t>
      </w:r>
      <w:r w:rsidR="000F576E">
        <w:rPr>
          <w:b/>
        </w:rPr>
        <w:t>3</w:t>
      </w:r>
      <w:r>
        <w:t>: A</w:t>
      </w:r>
      <w:r w:rsidR="00CF4E4A">
        <w:t xml:space="preserve"> 65-year-old man with prostate cancer currently on chemotherapy presents with sudden onset of shortness of breath one day after getting back from a cross-country road trip.</w:t>
      </w:r>
      <w:r w:rsidR="00886F4F">
        <w:t xml:space="preserve"> </w:t>
      </w:r>
      <w:r w:rsidR="00CF4E4A">
        <w:t>He reports that he has had a cough productive of yellowish sputum for the past three days</w:t>
      </w:r>
      <w:r w:rsidR="00036B6A">
        <w:t>,</w:t>
      </w:r>
      <w:r w:rsidR="00CF4E4A">
        <w:t xml:space="preserve"> as well as a subjective fever.</w:t>
      </w:r>
      <w:r w:rsidR="00886F4F">
        <w:t xml:space="preserve"> </w:t>
      </w:r>
      <w:r w:rsidR="00CF4E4A">
        <w:t xml:space="preserve">He </w:t>
      </w:r>
      <w:r w:rsidR="00112A5C">
        <w:t>reports no</w:t>
      </w:r>
      <w:r w:rsidR="00CF4E4A">
        <w:t xml:space="preserve"> calf pain</w:t>
      </w:r>
      <w:r w:rsidR="000763C1">
        <w:t xml:space="preserve"> or </w:t>
      </w:r>
      <w:r w:rsidR="00CF4E4A">
        <w:t>hemoptysis.</w:t>
      </w:r>
      <w:r w:rsidR="00886F4F">
        <w:t xml:space="preserve"> </w:t>
      </w:r>
      <w:r w:rsidR="00CF4E4A">
        <w:t xml:space="preserve">Medical history </w:t>
      </w:r>
      <w:r w:rsidR="006D10BF">
        <w:t xml:space="preserve">is </w:t>
      </w:r>
      <w:r w:rsidR="00CF4E4A">
        <w:t xml:space="preserve">significant for provoked DVT three years </w:t>
      </w:r>
      <w:r w:rsidR="00112A5C">
        <w:t>before</w:t>
      </w:r>
      <w:r w:rsidR="00CF4E4A">
        <w:t xml:space="preserve"> admission</w:t>
      </w:r>
      <w:r w:rsidR="00112A5C">
        <w:t>,</w:t>
      </w:r>
      <w:r w:rsidR="00CF4E4A">
        <w:t xml:space="preserve"> for which he was treated with </w:t>
      </w:r>
      <w:r w:rsidR="006D10BF">
        <w:t>w</w:t>
      </w:r>
      <w:r w:rsidR="00CF4E4A">
        <w:t>a</w:t>
      </w:r>
      <w:r w:rsidR="000F576E">
        <w:t>rfarin for 6 months.</w:t>
      </w:r>
      <w:r w:rsidR="00886F4F">
        <w:t xml:space="preserve"> </w:t>
      </w:r>
      <w:r w:rsidR="000F576E">
        <w:t xml:space="preserve">On exam, </w:t>
      </w:r>
      <w:r w:rsidR="00CF4E4A">
        <w:t xml:space="preserve">his heart rate is 80, </w:t>
      </w:r>
      <w:r w:rsidR="006D10BF">
        <w:t xml:space="preserve">and </w:t>
      </w:r>
      <w:r w:rsidR="00CF4E4A">
        <w:t xml:space="preserve">lung exam </w:t>
      </w:r>
      <w:r w:rsidR="00036B6A">
        <w:t xml:space="preserve">is </w:t>
      </w:r>
      <w:bookmarkStart w:id="0" w:name="_GoBack"/>
      <w:bookmarkEnd w:id="0"/>
      <w:r w:rsidR="00CF4E4A">
        <w:t>significant for crackles at the right base.</w:t>
      </w:r>
    </w:p>
    <w:p w:rsidR="002C4B4E" w:rsidRPr="002C4B4E" w:rsidRDefault="002C4B4E" w:rsidP="002C4B4E">
      <w:pPr>
        <w:rPr>
          <w:b/>
        </w:rPr>
      </w:pPr>
    </w:p>
    <w:p w:rsidR="002C4B4E" w:rsidRPr="002C4B4E" w:rsidRDefault="002C4B4E" w:rsidP="002C4B4E">
      <w:pPr>
        <w:rPr>
          <w:b/>
        </w:rPr>
      </w:pPr>
      <w:r w:rsidRPr="002C4B4E">
        <w:rPr>
          <w:b/>
        </w:rPr>
        <w:t>Questions:</w:t>
      </w:r>
    </w:p>
    <w:p w:rsidR="002C4B4E" w:rsidRPr="002C4B4E" w:rsidRDefault="002C4B4E" w:rsidP="002C4B4E"/>
    <w:p w:rsidR="002C4B4E" w:rsidRPr="002C4B4E" w:rsidRDefault="002C4B4E" w:rsidP="002C4B4E">
      <w:pPr>
        <w:pStyle w:val="ListParagraph"/>
        <w:numPr>
          <w:ilvl w:val="0"/>
          <w:numId w:val="44"/>
        </w:numPr>
      </w:pPr>
      <w:r w:rsidRPr="002C4B4E">
        <w:t xml:space="preserve">What is your estimate of </w:t>
      </w:r>
      <w:r w:rsidR="00EC1CD4">
        <w:t>your patient’s</w:t>
      </w:r>
      <w:r w:rsidRPr="002C4B4E">
        <w:t xml:space="preserve"> pretest probab</w:t>
      </w:r>
      <w:r w:rsidR="00CF4E4A">
        <w:t>ility for p</w:t>
      </w:r>
      <w:r w:rsidR="00EC1CD4">
        <w:t>ulmonary embolism</w:t>
      </w:r>
      <w:r w:rsidRPr="002C4B4E">
        <w:t>?</w:t>
      </w:r>
    </w:p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>
      <w:pPr>
        <w:pStyle w:val="ListParagraph"/>
        <w:numPr>
          <w:ilvl w:val="0"/>
          <w:numId w:val="44"/>
        </w:numPr>
      </w:pPr>
      <w:r w:rsidRPr="002C4B4E">
        <w:t xml:space="preserve">Based on your pretest probability estimate, would you perform additional testing to evaluate for </w:t>
      </w:r>
      <w:r w:rsidR="00EC1CD4">
        <w:t>PE</w:t>
      </w:r>
      <w:r w:rsidRPr="002C4B4E">
        <w:t>?</w:t>
      </w:r>
      <w:r w:rsidR="00886F4F">
        <w:t xml:space="preserve"> </w:t>
      </w:r>
      <w:r w:rsidRPr="002C4B4E">
        <w:t>Why or why not?</w:t>
      </w:r>
      <w:r w:rsidR="000F576E">
        <w:t xml:space="preserve"> Which </w:t>
      </w:r>
      <w:r w:rsidR="004F6A84">
        <w:t xml:space="preserve">diagnostic </w:t>
      </w:r>
      <w:r w:rsidR="000F576E">
        <w:t>test</w:t>
      </w:r>
      <w:r w:rsidR="004F6A84">
        <w:t xml:space="preserve"> is a high value choice for each scenario</w:t>
      </w:r>
      <w:r w:rsidR="000F576E">
        <w:t>?</w:t>
      </w:r>
    </w:p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/>
    <w:p w:rsidR="002C4B4E" w:rsidRPr="002C4B4E" w:rsidRDefault="002C4B4E" w:rsidP="002C4B4E">
      <w:pPr>
        <w:pStyle w:val="ListParagraph"/>
        <w:numPr>
          <w:ilvl w:val="0"/>
          <w:numId w:val="44"/>
        </w:numPr>
      </w:pPr>
      <w:r w:rsidRPr="002C4B4E">
        <w:t xml:space="preserve">Using your estimated pretest probability of disease, use likelihood ratios to assess how </w:t>
      </w:r>
      <w:r w:rsidR="00EC1CD4">
        <w:t xml:space="preserve">D-dimer </w:t>
      </w:r>
      <w:r w:rsidR="006D10BF">
        <w:t xml:space="preserve">testing </w:t>
      </w:r>
      <w:r w:rsidR="00EC1CD4">
        <w:t>or CTA</w:t>
      </w:r>
      <w:r w:rsidRPr="002C4B4E">
        <w:t xml:space="preserve"> might influence your pretes</w:t>
      </w:r>
      <w:r w:rsidR="00EC1CD4">
        <w:t>t probability of disease in your</w:t>
      </w:r>
      <w:r w:rsidRPr="002C4B4E">
        <w:t xml:space="preserve"> patient.</w:t>
      </w:r>
    </w:p>
    <w:p w:rsidR="002C4B4E" w:rsidRPr="002C4B4E" w:rsidRDefault="002C4B4E" w:rsidP="002C4B4E">
      <w:pPr>
        <w:pStyle w:val="ListParagraph"/>
      </w:pPr>
    </w:p>
    <w:p w:rsidR="002C4B4E" w:rsidRPr="002C4B4E" w:rsidRDefault="002C4B4E" w:rsidP="002C4B4E">
      <w:pPr>
        <w:pStyle w:val="ListParagraph"/>
      </w:pPr>
    </w:p>
    <w:p w:rsidR="002C4B4E" w:rsidRPr="002C4B4E" w:rsidRDefault="002C4B4E" w:rsidP="008572CA"/>
    <w:p w:rsidR="002C4B4E" w:rsidRPr="002C4B4E" w:rsidRDefault="004F6A84" w:rsidP="002C4B4E">
      <w:pPr>
        <w:pStyle w:val="ListParagraph"/>
        <w:numPr>
          <w:ilvl w:val="0"/>
          <w:numId w:val="44"/>
        </w:numPr>
      </w:pPr>
      <w:r>
        <w:t>Review the list of likelihood ratios provided for common conditions and tests (including physical findings). Do you thin</w:t>
      </w:r>
      <w:r w:rsidR="00112A5C">
        <w:t>k that the process of combining</w:t>
      </w:r>
      <w:r>
        <w:t xml:space="preserve"> estimated pretest probability with the likelihood ratio may help you avoid unnecessary diagnostic testing as a fellow? Please share your thoughts with the larger group.</w:t>
      </w:r>
    </w:p>
    <w:p w:rsidR="002C4B4E" w:rsidRPr="002C4B4E" w:rsidRDefault="002C4B4E" w:rsidP="002C4B4E">
      <w:pPr>
        <w:pStyle w:val="TableTitle"/>
        <w:spacing w:before="0" w:after="120"/>
        <w:rPr>
          <w:rFonts w:ascii="Calibri" w:hAnsi="Calibri"/>
          <w:sz w:val="22"/>
          <w:szCs w:val="22"/>
        </w:rPr>
      </w:pPr>
    </w:p>
    <w:p w:rsidR="002C4B4E" w:rsidRPr="002C4B4E" w:rsidRDefault="002C4B4E" w:rsidP="002C4B4E">
      <w:pPr>
        <w:pStyle w:val="TableTitle"/>
        <w:spacing w:before="0" w:after="120"/>
        <w:rPr>
          <w:rFonts w:ascii="Calibri" w:hAnsi="Calibri"/>
          <w:sz w:val="22"/>
          <w:szCs w:val="22"/>
        </w:rPr>
      </w:pPr>
    </w:p>
    <w:p w:rsidR="00EC1CD4" w:rsidRDefault="00EC1CD4" w:rsidP="002C4B4E">
      <w:pPr>
        <w:pStyle w:val="TableTitle"/>
        <w:spacing w:before="0" w:after="120"/>
      </w:pPr>
    </w:p>
    <w:p w:rsidR="00EC1CD4" w:rsidRDefault="00EC1CD4" w:rsidP="002C4B4E">
      <w:pPr>
        <w:pStyle w:val="TableTitle"/>
        <w:spacing w:before="0" w:after="120"/>
      </w:pPr>
    </w:p>
    <w:p w:rsidR="004935B9" w:rsidRPr="00363828" w:rsidRDefault="00CB4692" w:rsidP="002C4B4E">
      <w:pPr>
        <w:pStyle w:val="TableTitle"/>
        <w:spacing w:before="0" w:after="120"/>
        <w:rPr>
          <w:rFonts w:asciiTheme="minorHAnsi" w:hAnsiTheme="minorHAnsi"/>
          <w:sz w:val="28"/>
        </w:rPr>
      </w:pPr>
      <w:r w:rsidRPr="00363828">
        <w:rPr>
          <w:rFonts w:asciiTheme="minorHAnsi" w:hAnsiTheme="minorHAnsi"/>
          <w:sz w:val="28"/>
        </w:rPr>
        <w:t>Well’s Criteria for Pulmonary Embolism</w:t>
      </w:r>
    </w:p>
    <w:p w:rsidR="002C4B4E" w:rsidRPr="00C86FB9" w:rsidRDefault="002C4B4E" w:rsidP="002C4B4E">
      <w:pPr>
        <w:pStyle w:val="TableTitle"/>
        <w:spacing w:before="0" w:after="120"/>
      </w:pPr>
    </w:p>
    <w:tbl>
      <w:tblPr>
        <w:tblW w:w="1125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3330"/>
        <w:gridCol w:w="1994"/>
        <w:gridCol w:w="1966"/>
        <w:gridCol w:w="3960"/>
      </w:tblGrid>
      <w:tr w:rsidR="004935B9" w:rsidRPr="00C86FB9" w:rsidTr="00363828">
        <w:trPr>
          <w:trHeight w:val="370"/>
        </w:trPr>
        <w:tc>
          <w:tcPr>
            <w:tcW w:w="3330" w:type="dxa"/>
            <w:shd w:val="clear" w:color="000000" w:fill="auto"/>
          </w:tcPr>
          <w:p w:rsidR="004935B9" w:rsidRPr="00C86FB9" w:rsidRDefault="004935B9" w:rsidP="00CB4692">
            <w:pPr>
              <w:pStyle w:val="ColHdL"/>
              <w:jc w:val="center"/>
            </w:pPr>
            <w:r>
              <w:t>Criteria</w:t>
            </w:r>
          </w:p>
        </w:tc>
        <w:tc>
          <w:tcPr>
            <w:tcW w:w="1994" w:type="dxa"/>
            <w:shd w:val="clear" w:color="000000" w:fill="auto"/>
          </w:tcPr>
          <w:p w:rsidR="004935B9" w:rsidRPr="00C86FB9" w:rsidRDefault="004935B9" w:rsidP="00CB4692">
            <w:pPr>
              <w:pStyle w:val="ColHdL"/>
              <w:jc w:val="center"/>
            </w:pPr>
            <w:r>
              <w:t>Points</w:t>
            </w:r>
          </w:p>
        </w:tc>
        <w:tc>
          <w:tcPr>
            <w:tcW w:w="1966" w:type="dxa"/>
            <w:shd w:val="clear" w:color="000000" w:fill="auto"/>
          </w:tcPr>
          <w:p w:rsidR="004935B9" w:rsidRPr="00C86FB9" w:rsidRDefault="004935B9" w:rsidP="004935B9">
            <w:pPr>
              <w:pStyle w:val="ColHdL"/>
            </w:pPr>
            <w:r>
              <w:t>Total Score</w:t>
            </w:r>
          </w:p>
        </w:tc>
        <w:tc>
          <w:tcPr>
            <w:tcW w:w="3960" w:type="dxa"/>
            <w:shd w:val="clear" w:color="000000" w:fill="auto"/>
          </w:tcPr>
          <w:p w:rsidR="004935B9" w:rsidRPr="00C86FB9" w:rsidRDefault="004935B9" w:rsidP="00CB4692">
            <w:pPr>
              <w:pStyle w:val="ColHdL"/>
              <w:jc w:val="center"/>
            </w:pPr>
            <w:r>
              <w:t>Category</w:t>
            </w:r>
          </w:p>
        </w:tc>
      </w:tr>
      <w:tr w:rsidR="004935B9" w:rsidRPr="00C86FB9" w:rsidTr="00363828">
        <w:trPr>
          <w:trHeight w:val="342"/>
        </w:trPr>
        <w:tc>
          <w:tcPr>
            <w:tcW w:w="3330" w:type="dxa"/>
            <w:shd w:val="clear" w:color="000000" w:fill="C0C0C0"/>
          </w:tcPr>
          <w:p w:rsidR="004935B9" w:rsidRPr="00C86FB9" w:rsidRDefault="004935B9" w:rsidP="006D10BF">
            <w:pPr>
              <w:pStyle w:val="CellTxtL"/>
            </w:pPr>
            <w:r>
              <w:t xml:space="preserve">Clinical </w:t>
            </w:r>
            <w:r w:rsidR="006D10BF">
              <w:t>s</w:t>
            </w:r>
            <w:r>
              <w:t xml:space="preserve">igns and </w:t>
            </w:r>
            <w:r w:rsidR="006D10BF">
              <w:t>s</w:t>
            </w:r>
            <w:r>
              <w:t>ymptoms of DVT</w:t>
            </w:r>
          </w:p>
        </w:tc>
        <w:tc>
          <w:tcPr>
            <w:tcW w:w="1994" w:type="dxa"/>
            <w:shd w:val="clear" w:color="000000" w:fill="C0C0C0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3.0</w:t>
            </w:r>
          </w:p>
        </w:tc>
        <w:tc>
          <w:tcPr>
            <w:tcW w:w="1966" w:type="dxa"/>
            <w:shd w:val="clear" w:color="000000" w:fill="C0C0C0"/>
          </w:tcPr>
          <w:p w:rsidR="004935B9" w:rsidRPr="00D47205" w:rsidRDefault="004935B9" w:rsidP="00CB4692">
            <w:pPr>
              <w:pStyle w:val="CellTxtL"/>
              <w:rPr>
                <w:sz w:val="20"/>
              </w:rPr>
            </w:pPr>
            <w:r w:rsidRPr="00D47205">
              <w:rPr>
                <w:sz w:val="20"/>
              </w:rPr>
              <w:t>0-2</w:t>
            </w:r>
          </w:p>
        </w:tc>
        <w:tc>
          <w:tcPr>
            <w:tcW w:w="3960" w:type="dxa"/>
            <w:shd w:val="clear" w:color="000000" w:fill="C0C0C0"/>
          </w:tcPr>
          <w:p w:rsidR="004935B9" w:rsidRPr="00985B19" w:rsidRDefault="004935B9" w:rsidP="00CB4692">
            <w:pPr>
              <w:pStyle w:val="CellTxtL"/>
              <w:jc w:val="center"/>
              <w:rPr>
                <w:b/>
                <w:sz w:val="20"/>
              </w:rPr>
            </w:pPr>
            <w:r w:rsidRPr="00985B19">
              <w:rPr>
                <w:b/>
                <w:sz w:val="20"/>
              </w:rPr>
              <w:t>Low prob (7% risk)</w:t>
            </w:r>
          </w:p>
        </w:tc>
      </w:tr>
      <w:tr w:rsidR="004935B9" w:rsidRPr="00C86FB9" w:rsidTr="00363828">
        <w:trPr>
          <w:trHeight w:val="342"/>
        </w:trPr>
        <w:tc>
          <w:tcPr>
            <w:tcW w:w="3330" w:type="dxa"/>
            <w:shd w:val="clear" w:color="000000" w:fill="auto"/>
          </w:tcPr>
          <w:p w:rsidR="004935B9" w:rsidRPr="00C86FB9" w:rsidRDefault="004935B9" w:rsidP="006D10BF">
            <w:pPr>
              <w:pStyle w:val="CellTxtL"/>
            </w:pPr>
            <w:r>
              <w:t xml:space="preserve">PE </w:t>
            </w:r>
            <w:r w:rsidR="006D10BF">
              <w:t>a</w:t>
            </w:r>
            <w:r>
              <w:t>s most likely diagnosis</w:t>
            </w:r>
          </w:p>
        </w:tc>
        <w:tc>
          <w:tcPr>
            <w:tcW w:w="1994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3.0</w:t>
            </w:r>
          </w:p>
        </w:tc>
        <w:tc>
          <w:tcPr>
            <w:tcW w:w="1966" w:type="dxa"/>
            <w:shd w:val="clear" w:color="000000" w:fill="auto"/>
          </w:tcPr>
          <w:p w:rsidR="004935B9" w:rsidRPr="00D47205" w:rsidRDefault="004935B9" w:rsidP="00CB4692">
            <w:pPr>
              <w:pStyle w:val="CellTxtL"/>
              <w:rPr>
                <w:sz w:val="20"/>
              </w:rPr>
            </w:pPr>
            <w:r w:rsidRPr="00D47205">
              <w:rPr>
                <w:sz w:val="20"/>
              </w:rPr>
              <w:t>3-6</w:t>
            </w:r>
          </w:p>
        </w:tc>
        <w:tc>
          <w:tcPr>
            <w:tcW w:w="3960" w:type="dxa"/>
            <w:shd w:val="clear" w:color="000000" w:fill="auto"/>
          </w:tcPr>
          <w:p w:rsidR="004935B9" w:rsidRPr="00985B19" w:rsidRDefault="004935B9" w:rsidP="00CB4692">
            <w:pPr>
              <w:pStyle w:val="CellTxtL"/>
              <w:jc w:val="center"/>
              <w:rPr>
                <w:b/>
                <w:sz w:val="20"/>
              </w:rPr>
            </w:pPr>
            <w:r w:rsidRPr="00985B19">
              <w:rPr>
                <w:b/>
                <w:sz w:val="20"/>
              </w:rPr>
              <w:t>Moderate prob (30% risk)</w:t>
            </w:r>
          </w:p>
        </w:tc>
      </w:tr>
      <w:tr w:rsidR="004935B9" w:rsidRPr="00C86FB9" w:rsidTr="00363828">
        <w:trPr>
          <w:trHeight w:val="342"/>
        </w:trPr>
        <w:tc>
          <w:tcPr>
            <w:tcW w:w="3330" w:type="dxa"/>
            <w:shd w:val="clear" w:color="000000" w:fill="C0C0C0"/>
          </w:tcPr>
          <w:p w:rsidR="004935B9" w:rsidRPr="00C86FB9" w:rsidRDefault="004935B9" w:rsidP="00CB4692">
            <w:pPr>
              <w:pStyle w:val="CellTxtL"/>
            </w:pPr>
            <w:r>
              <w:t>HR</w:t>
            </w:r>
            <w:r w:rsidR="006D10BF">
              <w:t xml:space="preserve"> </w:t>
            </w:r>
            <w:r>
              <w:t>&gt;100 bpm</w:t>
            </w:r>
          </w:p>
        </w:tc>
        <w:tc>
          <w:tcPr>
            <w:tcW w:w="1994" w:type="dxa"/>
            <w:shd w:val="clear" w:color="000000" w:fill="C0C0C0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1.5</w:t>
            </w:r>
          </w:p>
        </w:tc>
        <w:tc>
          <w:tcPr>
            <w:tcW w:w="1966" w:type="dxa"/>
            <w:shd w:val="clear" w:color="000000" w:fill="C0C0C0"/>
          </w:tcPr>
          <w:p w:rsidR="004935B9" w:rsidRPr="00D47205" w:rsidRDefault="004935B9" w:rsidP="00CB4692">
            <w:pPr>
              <w:pStyle w:val="CellTxtL"/>
              <w:rPr>
                <w:sz w:val="20"/>
              </w:rPr>
            </w:pPr>
            <w:r w:rsidRPr="00D47205">
              <w:rPr>
                <w:sz w:val="20"/>
              </w:rPr>
              <w:t>&gt;6</w:t>
            </w:r>
          </w:p>
        </w:tc>
        <w:tc>
          <w:tcPr>
            <w:tcW w:w="3960" w:type="dxa"/>
            <w:shd w:val="clear" w:color="000000" w:fill="C0C0C0"/>
          </w:tcPr>
          <w:p w:rsidR="004935B9" w:rsidRPr="00985B19" w:rsidRDefault="004935B9" w:rsidP="00CB4692">
            <w:pPr>
              <w:pStyle w:val="CellTxtL"/>
              <w:jc w:val="center"/>
              <w:rPr>
                <w:b/>
                <w:sz w:val="20"/>
              </w:rPr>
            </w:pPr>
            <w:r w:rsidRPr="00985B19">
              <w:rPr>
                <w:b/>
                <w:sz w:val="20"/>
              </w:rPr>
              <w:t>High prob (75% risk)</w:t>
            </w:r>
          </w:p>
        </w:tc>
      </w:tr>
      <w:tr w:rsidR="004935B9" w:rsidRPr="00C86FB9" w:rsidTr="00363828">
        <w:trPr>
          <w:trHeight w:val="342"/>
        </w:trPr>
        <w:tc>
          <w:tcPr>
            <w:tcW w:w="3330" w:type="dxa"/>
            <w:shd w:val="clear" w:color="000000" w:fill="auto"/>
          </w:tcPr>
          <w:p w:rsidR="004935B9" w:rsidRPr="00C86FB9" w:rsidRDefault="004935B9" w:rsidP="00CB4692">
            <w:pPr>
              <w:pStyle w:val="CellTxtL"/>
            </w:pPr>
            <w:r>
              <w:t>Immobilization at least 3 days, or surgery in the previous month</w:t>
            </w:r>
          </w:p>
        </w:tc>
        <w:tc>
          <w:tcPr>
            <w:tcW w:w="1994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1.5</w:t>
            </w:r>
          </w:p>
        </w:tc>
        <w:tc>
          <w:tcPr>
            <w:tcW w:w="1966" w:type="dxa"/>
            <w:shd w:val="clear" w:color="000000" w:fill="auto"/>
          </w:tcPr>
          <w:p w:rsidR="004935B9" w:rsidRPr="00C86FB9" w:rsidRDefault="004935B9" w:rsidP="00CB4692">
            <w:pPr>
              <w:pStyle w:val="CellTxtL"/>
            </w:pPr>
          </w:p>
        </w:tc>
        <w:tc>
          <w:tcPr>
            <w:tcW w:w="3960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</w:p>
        </w:tc>
      </w:tr>
      <w:tr w:rsidR="004935B9" w:rsidRPr="00C86FB9" w:rsidTr="00363828">
        <w:trPr>
          <w:trHeight w:val="329"/>
        </w:trPr>
        <w:tc>
          <w:tcPr>
            <w:tcW w:w="3330" w:type="dxa"/>
            <w:shd w:val="clear" w:color="auto" w:fill="BFBFBF"/>
          </w:tcPr>
          <w:p w:rsidR="004935B9" w:rsidRPr="00C86FB9" w:rsidRDefault="004935B9" w:rsidP="00CB4692">
            <w:pPr>
              <w:pStyle w:val="CellTxtL"/>
            </w:pPr>
            <w:r>
              <w:t>Prior VTE</w:t>
            </w:r>
          </w:p>
        </w:tc>
        <w:tc>
          <w:tcPr>
            <w:tcW w:w="1994" w:type="dxa"/>
            <w:shd w:val="clear" w:color="auto" w:fill="BFBFBF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1.5</w:t>
            </w:r>
          </w:p>
        </w:tc>
        <w:tc>
          <w:tcPr>
            <w:tcW w:w="1966" w:type="dxa"/>
            <w:shd w:val="clear" w:color="auto" w:fill="BFBFBF"/>
          </w:tcPr>
          <w:p w:rsidR="004935B9" w:rsidRPr="00C86FB9" w:rsidRDefault="004935B9" w:rsidP="00CB4692">
            <w:pPr>
              <w:pStyle w:val="CellTxtL"/>
            </w:pPr>
          </w:p>
        </w:tc>
        <w:tc>
          <w:tcPr>
            <w:tcW w:w="3960" w:type="dxa"/>
            <w:shd w:val="clear" w:color="auto" w:fill="BFBFBF"/>
          </w:tcPr>
          <w:p w:rsidR="004935B9" w:rsidRPr="00C86FB9" w:rsidRDefault="004935B9" w:rsidP="00CB4692">
            <w:pPr>
              <w:pStyle w:val="CellTxtL"/>
              <w:jc w:val="center"/>
            </w:pPr>
          </w:p>
        </w:tc>
      </w:tr>
      <w:tr w:rsidR="004935B9" w:rsidRPr="00C86FB9" w:rsidTr="00363828">
        <w:trPr>
          <w:trHeight w:val="630"/>
        </w:trPr>
        <w:tc>
          <w:tcPr>
            <w:tcW w:w="3330" w:type="dxa"/>
            <w:shd w:val="clear" w:color="000000" w:fill="auto"/>
          </w:tcPr>
          <w:p w:rsidR="004935B9" w:rsidRPr="00C86FB9" w:rsidRDefault="004935B9" w:rsidP="00CB4692">
            <w:pPr>
              <w:pStyle w:val="CellTxtL"/>
            </w:pPr>
            <w:r>
              <w:t>Hemoptysis</w:t>
            </w:r>
          </w:p>
        </w:tc>
        <w:tc>
          <w:tcPr>
            <w:tcW w:w="1994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1.0</w:t>
            </w:r>
          </w:p>
        </w:tc>
        <w:tc>
          <w:tcPr>
            <w:tcW w:w="1966" w:type="dxa"/>
            <w:shd w:val="clear" w:color="000000" w:fill="auto"/>
          </w:tcPr>
          <w:p w:rsidR="004935B9" w:rsidRPr="00C86FB9" w:rsidRDefault="004935B9" w:rsidP="00CB4692">
            <w:pPr>
              <w:pStyle w:val="CellTxtL"/>
            </w:pPr>
          </w:p>
        </w:tc>
        <w:tc>
          <w:tcPr>
            <w:tcW w:w="3960" w:type="dxa"/>
            <w:shd w:val="clear" w:color="000000" w:fill="auto"/>
          </w:tcPr>
          <w:p w:rsidR="004935B9" w:rsidRPr="00C86FB9" w:rsidRDefault="004935B9" w:rsidP="00CB4692">
            <w:pPr>
              <w:pStyle w:val="CellTxtL"/>
              <w:jc w:val="center"/>
            </w:pPr>
          </w:p>
        </w:tc>
      </w:tr>
      <w:tr w:rsidR="004935B9" w:rsidRPr="00C86FB9" w:rsidTr="00363828">
        <w:trPr>
          <w:trHeight w:val="531"/>
        </w:trPr>
        <w:tc>
          <w:tcPr>
            <w:tcW w:w="3330" w:type="dxa"/>
            <w:shd w:val="clear" w:color="auto" w:fill="BFBFBF"/>
          </w:tcPr>
          <w:p w:rsidR="004935B9" w:rsidRPr="00C86FB9" w:rsidRDefault="004935B9" w:rsidP="00CB4692">
            <w:pPr>
              <w:pStyle w:val="CellTxtL"/>
            </w:pPr>
            <w:r>
              <w:t>Malignancy</w:t>
            </w:r>
          </w:p>
        </w:tc>
        <w:tc>
          <w:tcPr>
            <w:tcW w:w="1994" w:type="dxa"/>
            <w:shd w:val="clear" w:color="auto" w:fill="BFBFBF"/>
          </w:tcPr>
          <w:p w:rsidR="004935B9" w:rsidRPr="00C86FB9" w:rsidRDefault="004935B9" w:rsidP="00CB4692">
            <w:pPr>
              <w:pStyle w:val="CellTxtL"/>
              <w:jc w:val="center"/>
            </w:pPr>
            <w:r>
              <w:t>1.0</w:t>
            </w:r>
          </w:p>
        </w:tc>
        <w:tc>
          <w:tcPr>
            <w:tcW w:w="1966" w:type="dxa"/>
            <w:shd w:val="clear" w:color="auto" w:fill="BFBFBF"/>
          </w:tcPr>
          <w:p w:rsidR="004935B9" w:rsidRPr="00C86FB9" w:rsidRDefault="004935B9" w:rsidP="00CB4692">
            <w:pPr>
              <w:pStyle w:val="CellTxtL"/>
            </w:pPr>
          </w:p>
        </w:tc>
        <w:tc>
          <w:tcPr>
            <w:tcW w:w="3960" w:type="dxa"/>
            <w:shd w:val="clear" w:color="auto" w:fill="BFBFBF"/>
          </w:tcPr>
          <w:p w:rsidR="004935B9" w:rsidRPr="00C86FB9" w:rsidRDefault="004935B9" w:rsidP="00CB4692">
            <w:pPr>
              <w:pStyle w:val="CellTxtL"/>
              <w:jc w:val="center"/>
            </w:pPr>
          </w:p>
        </w:tc>
      </w:tr>
    </w:tbl>
    <w:p w:rsidR="005917DA" w:rsidRDefault="005917DA" w:rsidP="002C4B4E">
      <w:pPr>
        <w:rPr>
          <w:rFonts w:ascii="Trebuchet MS" w:hAnsi="Trebuchet MS"/>
          <w:b/>
        </w:rPr>
      </w:pPr>
    </w:p>
    <w:p w:rsidR="004935B9" w:rsidRDefault="004935B9" w:rsidP="002C4B4E">
      <w:pPr>
        <w:rPr>
          <w:rFonts w:ascii="Trebuchet MS" w:hAnsi="Trebuchet MS"/>
          <w:b/>
        </w:rPr>
      </w:pPr>
    </w:p>
    <w:p w:rsidR="00363828" w:rsidRDefault="00363828" w:rsidP="002C4B4E">
      <w:pPr>
        <w:rPr>
          <w:rFonts w:ascii="Trebuchet MS" w:hAnsi="Trebuchet MS"/>
          <w:b/>
        </w:rPr>
      </w:pPr>
    </w:p>
    <w:p w:rsidR="002C4B4E" w:rsidRDefault="005917DA" w:rsidP="002C4B4E">
      <w:pPr>
        <w:rPr>
          <w:rFonts w:asciiTheme="minorHAnsi" w:hAnsiTheme="minorHAnsi"/>
          <w:b/>
          <w:sz w:val="28"/>
        </w:rPr>
      </w:pPr>
      <w:r w:rsidRPr="00363828">
        <w:rPr>
          <w:rFonts w:asciiTheme="minorHAnsi" w:hAnsiTheme="minorHAnsi"/>
          <w:b/>
          <w:sz w:val="28"/>
        </w:rPr>
        <w:t>Diagnostic Test Characteristics for Pulmonary Embolism</w:t>
      </w:r>
    </w:p>
    <w:p w:rsidR="00363828" w:rsidRPr="00363828" w:rsidRDefault="00363828" w:rsidP="002C4B4E">
      <w:pPr>
        <w:rPr>
          <w:rFonts w:asciiTheme="minorHAnsi" w:hAnsiTheme="minorHAnsi"/>
          <w:b/>
          <w:sz w:val="28"/>
        </w:rPr>
      </w:pPr>
    </w:p>
    <w:tbl>
      <w:tblPr>
        <w:tblpPr w:leftFromText="180" w:rightFromText="180" w:vertAnchor="text" w:horzAnchor="page" w:tblpX="535" w:tblpY="233"/>
        <w:tblW w:w="11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124"/>
        <w:gridCol w:w="1980"/>
        <w:gridCol w:w="1710"/>
        <w:gridCol w:w="2970"/>
        <w:gridCol w:w="2484"/>
      </w:tblGrid>
      <w:tr w:rsidR="005917DA" w:rsidRPr="00C86FB9" w:rsidTr="00363828">
        <w:trPr>
          <w:trHeight w:val="1021"/>
        </w:trPr>
        <w:tc>
          <w:tcPr>
            <w:tcW w:w="2124" w:type="dxa"/>
            <w:shd w:val="clear" w:color="000000" w:fill="auto"/>
          </w:tcPr>
          <w:p w:rsidR="004935B9" w:rsidRDefault="004935B9" w:rsidP="00363828">
            <w:pPr>
              <w:pStyle w:val="ColHdL"/>
              <w:spacing w:after="120"/>
              <w:ind w:left="0"/>
            </w:pPr>
          </w:p>
          <w:p w:rsidR="005917DA" w:rsidRPr="00C86FB9" w:rsidRDefault="005917DA" w:rsidP="00363828">
            <w:pPr>
              <w:pStyle w:val="ColHdL"/>
              <w:spacing w:after="120"/>
              <w:ind w:left="0"/>
            </w:pPr>
            <w:r w:rsidRPr="00C86FB9">
              <w:t>Test</w:t>
            </w:r>
          </w:p>
        </w:tc>
        <w:tc>
          <w:tcPr>
            <w:tcW w:w="1980" w:type="dxa"/>
            <w:shd w:val="clear" w:color="000000" w:fill="auto"/>
            <w:vAlign w:val="center"/>
          </w:tcPr>
          <w:p w:rsidR="005917DA" w:rsidRPr="00C86FB9" w:rsidRDefault="005917DA" w:rsidP="00363828">
            <w:pPr>
              <w:pStyle w:val="ColHdL2"/>
              <w:spacing w:after="120"/>
              <w:ind w:left="0"/>
              <w:rPr>
                <w:color w:val="auto"/>
              </w:rPr>
            </w:pPr>
            <w:r w:rsidRPr="00C86FB9">
              <w:rPr>
                <w:color w:val="auto"/>
              </w:rPr>
              <w:t>Sensitivity</w:t>
            </w:r>
          </w:p>
        </w:tc>
        <w:tc>
          <w:tcPr>
            <w:tcW w:w="1710" w:type="dxa"/>
            <w:shd w:val="clear" w:color="000000" w:fill="auto"/>
            <w:vAlign w:val="center"/>
          </w:tcPr>
          <w:p w:rsidR="005917DA" w:rsidRPr="00C86FB9" w:rsidRDefault="005917DA" w:rsidP="00363828">
            <w:pPr>
              <w:pStyle w:val="ColHdL2"/>
              <w:spacing w:after="120"/>
              <w:jc w:val="center"/>
              <w:rPr>
                <w:color w:val="auto"/>
              </w:rPr>
            </w:pPr>
            <w:r w:rsidRPr="00C86FB9">
              <w:rPr>
                <w:color w:val="auto"/>
              </w:rPr>
              <w:t>Specificity</w:t>
            </w:r>
          </w:p>
        </w:tc>
        <w:tc>
          <w:tcPr>
            <w:tcW w:w="2970" w:type="dxa"/>
            <w:shd w:val="clear" w:color="000000" w:fill="auto"/>
            <w:vAlign w:val="center"/>
          </w:tcPr>
          <w:p w:rsidR="005917DA" w:rsidRPr="00C86FB9" w:rsidRDefault="005917DA" w:rsidP="00112A5C">
            <w:pPr>
              <w:pStyle w:val="ColHdL2"/>
              <w:spacing w:after="120"/>
              <w:jc w:val="center"/>
              <w:rPr>
                <w:color w:val="auto"/>
              </w:rPr>
            </w:pPr>
            <w:r w:rsidRPr="00C86FB9">
              <w:rPr>
                <w:color w:val="auto"/>
              </w:rPr>
              <w:t xml:space="preserve">Likelihood </w:t>
            </w:r>
            <w:r w:rsidR="00112A5C">
              <w:rPr>
                <w:color w:val="auto"/>
              </w:rPr>
              <w:t>r</w:t>
            </w:r>
            <w:r w:rsidRPr="00C86FB9">
              <w:rPr>
                <w:color w:val="auto"/>
              </w:rPr>
              <w:t>atio</w:t>
            </w:r>
            <w:r>
              <w:rPr>
                <w:color w:val="auto"/>
              </w:rPr>
              <w:t xml:space="preserve"> in low </w:t>
            </w:r>
            <w:proofErr w:type="spellStart"/>
            <w:r>
              <w:rPr>
                <w:color w:val="auto"/>
              </w:rPr>
              <w:t>prob</w:t>
            </w:r>
            <w:proofErr w:type="spellEnd"/>
            <w:r>
              <w:rPr>
                <w:color w:val="auto"/>
              </w:rPr>
              <w:t xml:space="preserve"> of PE</w:t>
            </w:r>
          </w:p>
        </w:tc>
        <w:tc>
          <w:tcPr>
            <w:tcW w:w="2484" w:type="dxa"/>
            <w:shd w:val="clear" w:color="000000" w:fill="auto"/>
            <w:vAlign w:val="center"/>
          </w:tcPr>
          <w:p w:rsidR="005917DA" w:rsidRPr="00C86FB9" w:rsidRDefault="005917DA" w:rsidP="00112A5C">
            <w:pPr>
              <w:pStyle w:val="ColHdL2"/>
              <w:spacing w:after="120"/>
              <w:jc w:val="center"/>
              <w:rPr>
                <w:color w:val="auto"/>
              </w:rPr>
            </w:pPr>
            <w:r w:rsidRPr="00C86FB9">
              <w:rPr>
                <w:color w:val="auto"/>
              </w:rPr>
              <w:t xml:space="preserve">Likelihood </w:t>
            </w:r>
            <w:r w:rsidR="00112A5C">
              <w:rPr>
                <w:color w:val="auto"/>
              </w:rPr>
              <w:t>r</w:t>
            </w:r>
            <w:r w:rsidRPr="00C86FB9">
              <w:rPr>
                <w:color w:val="auto"/>
              </w:rPr>
              <w:t>atio</w:t>
            </w:r>
            <w:r>
              <w:rPr>
                <w:color w:val="auto"/>
              </w:rPr>
              <w:t xml:space="preserve"> in mod to high prob of PE</w:t>
            </w:r>
          </w:p>
        </w:tc>
      </w:tr>
      <w:tr w:rsidR="005917DA" w:rsidRPr="00C86FB9" w:rsidTr="00363828">
        <w:trPr>
          <w:trHeight w:val="1026"/>
        </w:trPr>
        <w:tc>
          <w:tcPr>
            <w:tcW w:w="2124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rPr>
                <w:sz w:val="20"/>
              </w:rPr>
            </w:pPr>
            <w:r w:rsidRPr="00D47205">
              <w:rPr>
                <w:sz w:val="20"/>
              </w:rPr>
              <w:t>D-Dimer</w:t>
            </w:r>
          </w:p>
        </w:tc>
        <w:tc>
          <w:tcPr>
            <w:tcW w:w="1980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jc w:val="center"/>
              <w:rPr>
                <w:sz w:val="20"/>
              </w:rPr>
            </w:pPr>
            <w:r w:rsidRPr="00D47205">
              <w:rPr>
                <w:sz w:val="20"/>
              </w:rPr>
              <w:t>93%</w:t>
            </w:r>
          </w:p>
        </w:tc>
        <w:tc>
          <w:tcPr>
            <w:tcW w:w="1710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jc w:val="center"/>
              <w:rPr>
                <w:sz w:val="20"/>
              </w:rPr>
            </w:pPr>
            <w:r w:rsidRPr="00D47205">
              <w:rPr>
                <w:sz w:val="20"/>
              </w:rPr>
              <w:t>25%</w:t>
            </w:r>
          </w:p>
        </w:tc>
        <w:tc>
          <w:tcPr>
            <w:tcW w:w="2970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spacing w:before="0" w:after="0" w:line="360" w:lineRule="auto"/>
              <w:jc w:val="center"/>
              <w:rPr>
                <w:sz w:val="20"/>
                <w:vertAlign w:val="superscript"/>
              </w:rPr>
            </w:pPr>
            <w:r w:rsidRPr="00D47205">
              <w:rPr>
                <w:sz w:val="20"/>
              </w:rPr>
              <w:t>LR(+) = 2.4</w:t>
            </w:r>
          </w:p>
          <w:p w:rsidR="005917DA" w:rsidRPr="00D47205" w:rsidRDefault="005917DA" w:rsidP="00363828">
            <w:pPr>
              <w:pStyle w:val="CellTxtL"/>
              <w:spacing w:before="0" w:after="0" w:line="360" w:lineRule="auto"/>
              <w:jc w:val="center"/>
              <w:rPr>
                <w:sz w:val="20"/>
              </w:rPr>
            </w:pPr>
            <w:r w:rsidRPr="00D47205">
              <w:rPr>
                <w:sz w:val="20"/>
              </w:rPr>
              <w:t>LR(-) = 0.1</w:t>
            </w:r>
          </w:p>
        </w:tc>
        <w:tc>
          <w:tcPr>
            <w:tcW w:w="2484" w:type="dxa"/>
            <w:shd w:val="clear" w:color="000000" w:fill="C0C0C0"/>
            <w:vAlign w:val="center"/>
          </w:tcPr>
          <w:p w:rsidR="005917DA" w:rsidRPr="00D47205" w:rsidRDefault="005917DA" w:rsidP="00363828">
            <w:pPr>
              <w:pStyle w:val="CellTxtL"/>
              <w:spacing w:before="0" w:after="0" w:line="360" w:lineRule="auto"/>
              <w:jc w:val="center"/>
              <w:rPr>
                <w:sz w:val="20"/>
                <w:vertAlign w:val="superscript"/>
              </w:rPr>
            </w:pPr>
            <w:r w:rsidRPr="00D47205">
              <w:rPr>
                <w:sz w:val="20"/>
              </w:rPr>
              <w:t>LR(+) = 1.7</w:t>
            </w:r>
          </w:p>
          <w:p w:rsidR="005917DA" w:rsidRPr="00D47205" w:rsidRDefault="005917DA" w:rsidP="00363828">
            <w:pPr>
              <w:pStyle w:val="CellTxtL"/>
              <w:spacing w:before="0" w:after="0" w:line="360" w:lineRule="auto"/>
              <w:jc w:val="center"/>
              <w:rPr>
                <w:sz w:val="20"/>
              </w:rPr>
            </w:pPr>
            <w:r w:rsidRPr="00D47205">
              <w:rPr>
                <w:sz w:val="20"/>
              </w:rPr>
              <w:t>LR(-) = 0.</w:t>
            </w:r>
            <w:r w:rsidR="00985B19">
              <w:rPr>
                <w:sz w:val="20"/>
              </w:rPr>
              <w:t>2</w:t>
            </w:r>
          </w:p>
        </w:tc>
      </w:tr>
      <w:tr w:rsidR="005917DA" w:rsidRPr="00C86FB9" w:rsidTr="00363828">
        <w:trPr>
          <w:trHeight w:val="1719"/>
        </w:trPr>
        <w:tc>
          <w:tcPr>
            <w:tcW w:w="2124" w:type="dxa"/>
            <w:shd w:val="clear" w:color="000000" w:fill="auto"/>
            <w:vAlign w:val="center"/>
          </w:tcPr>
          <w:p w:rsidR="005917DA" w:rsidRPr="00D47205" w:rsidRDefault="006D10BF" w:rsidP="00363828">
            <w:pPr>
              <w:pStyle w:val="CellTxtL"/>
              <w:rPr>
                <w:sz w:val="20"/>
              </w:rPr>
            </w:pPr>
            <w:r>
              <w:rPr>
                <w:sz w:val="20"/>
              </w:rPr>
              <w:t>CT A</w:t>
            </w:r>
            <w:r w:rsidR="005917DA" w:rsidRPr="00D47205">
              <w:rPr>
                <w:sz w:val="20"/>
              </w:rPr>
              <w:t>ngiography</w:t>
            </w:r>
          </w:p>
        </w:tc>
        <w:tc>
          <w:tcPr>
            <w:tcW w:w="1980" w:type="dxa"/>
            <w:shd w:val="clear" w:color="000000" w:fill="auto"/>
            <w:vAlign w:val="center"/>
          </w:tcPr>
          <w:p w:rsidR="005917DA" w:rsidRPr="00D47205" w:rsidRDefault="005917DA" w:rsidP="0036382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87%</w:t>
            </w:r>
          </w:p>
        </w:tc>
        <w:tc>
          <w:tcPr>
            <w:tcW w:w="1710" w:type="dxa"/>
            <w:shd w:val="clear" w:color="000000" w:fill="auto"/>
            <w:vAlign w:val="center"/>
          </w:tcPr>
          <w:p w:rsidR="005917DA" w:rsidRPr="00D47205" w:rsidRDefault="005917DA" w:rsidP="0036382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95%</w:t>
            </w:r>
          </w:p>
        </w:tc>
        <w:tc>
          <w:tcPr>
            <w:tcW w:w="2970" w:type="dxa"/>
            <w:shd w:val="clear" w:color="000000" w:fill="auto"/>
            <w:vAlign w:val="center"/>
          </w:tcPr>
          <w:p w:rsidR="005917DA" w:rsidRPr="00D47205" w:rsidRDefault="005917DA" w:rsidP="00363828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 xml:space="preserve">LR(+) = </w:t>
            </w:r>
            <w:r>
              <w:rPr>
                <w:rFonts w:ascii="Verdana" w:eastAsia="MS PGothic" w:hAnsi="Verdana" w:cs="Arial"/>
                <w:kern w:val="24"/>
                <w:sz w:val="20"/>
                <w:szCs w:val="16"/>
              </w:rPr>
              <w:t>19.6</w:t>
            </w:r>
          </w:p>
          <w:p w:rsidR="005917DA" w:rsidRPr="005917DA" w:rsidRDefault="005917DA" w:rsidP="00363828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Verdana" w:eastAsia="MS PGothic" w:hAnsi="Verdana" w:cs="Arial"/>
                <w:kern w:val="24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LR(-) = 0.</w:t>
            </w:r>
            <w:r>
              <w:rPr>
                <w:rFonts w:ascii="Verdana" w:eastAsia="MS PGothic" w:hAnsi="Verdana" w:cs="Arial"/>
                <w:kern w:val="24"/>
                <w:sz w:val="20"/>
                <w:szCs w:val="16"/>
              </w:rPr>
              <w:t>18</w:t>
            </w:r>
          </w:p>
        </w:tc>
        <w:tc>
          <w:tcPr>
            <w:tcW w:w="2484" w:type="dxa"/>
            <w:shd w:val="clear" w:color="000000" w:fill="auto"/>
            <w:vAlign w:val="center"/>
          </w:tcPr>
          <w:p w:rsidR="005917DA" w:rsidRPr="00D47205" w:rsidRDefault="005917DA" w:rsidP="00363828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LR(+) = 24.1</w:t>
            </w:r>
          </w:p>
          <w:p w:rsidR="005917DA" w:rsidRPr="00D47205" w:rsidRDefault="005917DA" w:rsidP="00363828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Verdana" w:hAnsi="Verdana" w:cs="Arial"/>
                <w:sz w:val="20"/>
                <w:szCs w:val="16"/>
              </w:rPr>
            </w:pPr>
            <w:r w:rsidRPr="00D47205">
              <w:rPr>
                <w:rFonts w:ascii="Verdana" w:eastAsia="MS PGothic" w:hAnsi="Verdana" w:cs="Arial"/>
                <w:kern w:val="24"/>
                <w:sz w:val="20"/>
                <w:szCs w:val="16"/>
              </w:rPr>
              <w:t>LR(-) = 0.07</w:t>
            </w:r>
          </w:p>
        </w:tc>
      </w:tr>
    </w:tbl>
    <w:p w:rsidR="002C4B4E" w:rsidRPr="00C86FB9" w:rsidRDefault="00D47205" w:rsidP="002C4B4E">
      <w:pPr>
        <w:jc w:val="center"/>
      </w:pPr>
      <w:r>
        <w:rPr>
          <w:noProof/>
        </w:rPr>
        <w:lastRenderedPageBreak/>
        <w:drawing>
          <wp:inline distT="0" distB="0" distL="0" distR="0">
            <wp:extent cx="3848100" cy="6223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52" w:rsidRPr="00EC3F0F" w:rsidRDefault="00D46152" w:rsidP="00EC3F0F"/>
    <w:sectPr w:rsidR="00D46152" w:rsidRPr="00EC3F0F" w:rsidSect="00223A3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86" w:rsidRDefault="00F67486" w:rsidP="003D171D">
      <w:r>
        <w:separator/>
      </w:r>
    </w:p>
  </w:endnote>
  <w:endnote w:type="continuationSeparator" w:id="0">
    <w:p w:rsidR="00F67486" w:rsidRDefault="00F67486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Default="00A24195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4E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E4A" w:rsidRDefault="00CF4E4A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Default="00A24195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CF4E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B6A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E4A" w:rsidRDefault="00036B6A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Line 3" o:spid="_x0000_s6145" style="position:absolute;left:0;text-align:left;z-index:251658752;visibility:visibl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M90UqSXAgAAgwUAAA4AAAAAAAAAAAAAAAAALgIAAGRycy9lMm9E&#10;b2MueG1sUEsBAi0AFAAGAAgAAAAhAAAhN7XgAAAACwEAAA8AAAAAAAAAAAAAAAAA8QQAAGRycy9k&#10;b3ducmV2LnhtbFBLBQYAAAAABAAEAPMAAAD+BQAAAAA=&#10;" strokecolor="#17365d" strokeweight="1pt">
          <v:fill o:detectmouseclick="t"/>
          <v:shadow opacity="22938f" offset="0"/>
        </v:line>
      </w:pict>
    </w:r>
    <w:r w:rsidR="00CF4E4A">
      <w:rPr>
        <w:rFonts w:ascii="Trebuchet MS" w:hAnsi="Trebuchet MS"/>
        <w:noProof/>
      </w:rPr>
      <w:drawing>
        <wp:inline distT="0" distB="0" distL="0" distR="0">
          <wp:extent cx="2717800" cy="317500"/>
          <wp:effectExtent l="25400" t="0" r="0" b="0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4E4A" w:rsidRPr="004F1393">
      <w:rPr>
        <w:rFonts w:ascii="Trebuchet MS" w:hAnsi="Trebuchet MS"/>
      </w:rPr>
      <w:tab/>
    </w:r>
    <w:r w:rsidR="00CF4E4A">
      <w:rPr>
        <w:rFonts w:ascii="Trebuchet MS" w:hAnsi="Trebuchet MS"/>
      </w:rPr>
      <w:tab/>
    </w:r>
    <w:r w:rsidR="00CF4E4A">
      <w:rPr>
        <w:rFonts w:ascii="Trebuchet MS" w:hAnsi="Trebuchet MS"/>
        <w:noProof/>
      </w:rPr>
      <w:drawing>
        <wp:inline distT="0" distB="0" distL="0" distR="0">
          <wp:extent cx="1143000" cy="368300"/>
          <wp:effectExtent l="0" t="0" r="0" b="0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86" w:rsidRDefault="00F67486" w:rsidP="003D171D">
      <w:r>
        <w:separator/>
      </w:r>
    </w:p>
  </w:footnote>
  <w:footnote w:type="continuationSeparator" w:id="0">
    <w:p w:rsidR="00F67486" w:rsidRDefault="00F67486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Default="00A24195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E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E4A" w:rsidRDefault="00CF4E4A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Pr="00633683" w:rsidRDefault="00036B6A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7" type="#_x0000_t202" style="position:absolute;left:0;text-align:left;margin-left:3in;margin-top:-9pt;width:315pt;height:6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zhyaxAgAAuQUAAA4AAAAA&#10;AAAAAAAAAAAALgIAAGRycy9lMm9Eb2MueG1sUEsBAi0AFAAGAAgAAAAhAO4B7L7bAAAADAEAAA8A&#10;AAAAAAAAAAAAAAAACwUAAGRycy9kb3ducmV2LnhtbFBLBQYAAAAABAAEAPMAAAATBgAAAAA=&#10;" filled="f" stroked="f">
          <v:textbox inset=",7.2pt,,7.2pt">
            <w:txbxContent>
              <w:p w:rsidR="00CF4E4A" w:rsidRPr="002643C9" w:rsidRDefault="004F6A84" w:rsidP="002C4B4E">
                <w:r>
                  <w:rPr>
                    <w:b/>
                    <w:bCs/>
                    <w:sz w:val="40"/>
                  </w:rPr>
                  <w:t xml:space="preserve">Biostatistics for </w:t>
                </w:r>
                <w:r w:rsidR="00CF4E4A">
                  <w:rPr>
                    <w:b/>
                    <w:bCs/>
                    <w:sz w:val="40"/>
                  </w:rPr>
                  <w:t xml:space="preserve">High Value Diagnostic Testing and </w:t>
                </w:r>
                <w:r>
                  <w:rPr>
                    <w:b/>
                    <w:bCs/>
                    <w:sz w:val="40"/>
                  </w:rPr>
                  <w:t>Treatment</w:t>
                </w:r>
                <w:r w:rsidR="00363828">
                  <w:rPr>
                    <w:b/>
                    <w:bCs/>
                    <w:sz w:val="40"/>
                  </w:rPr>
                  <w:t xml:space="preserve"> </w:t>
                </w:r>
                <w:r w:rsidR="00CF4E4A">
                  <w:rPr>
                    <w:b/>
                    <w:bCs/>
                    <w:sz w:val="40"/>
                  </w:rPr>
                  <w:t>Screening</w:t>
                </w:r>
              </w:p>
              <w:p w:rsidR="00CF4E4A" w:rsidRPr="002E0F7D" w:rsidRDefault="00CF4E4A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 w:rsidR="00CF4E4A">
      <w:rPr>
        <w:b/>
        <w:bCs/>
        <w:noProof/>
        <w:sz w:val="40"/>
      </w:rPr>
      <w:drawing>
        <wp:inline distT="0" distB="0" distL="0" distR="0">
          <wp:extent cx="2324100" cy="469900"/>
          <wp:effectExtent l="25400" t="0" r="0" b="0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E4A" w:rsidRPr="00633683" w:rsidRDefault="00CF4E4A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CF4E4A" w:rsidRPr="00633683" w:rsidRDefault="00036B6A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>
        <v:line id="Line 2" o:spid="_x0000_s6146" style="position:absolute;left:0;text-align:left;z-index:251657728;visibility:visibl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KfyjiaZAgAAgwUAAA4AAAAAAAAAAAAAAAAALgIAAGRycy9lMm9E&#10;b2MueG1sUEsBAi0AFAAGAAgAAAAhAOoneFneAAAACQEAAA8AAAAAAAAAAAAAAAAA8wQAAGRycy9k&#10;b3ducmV2LnhtbFBLBQYAAAAABAAEAPMAAAD+BQAAAAA=&#10;" strokecolor="#17365d" strokeweight="1pt">
          <v:fill o:detectmouseclick="t"/>
          <v:shadow opacity="22938f" offset="0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CB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C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1FCC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59C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E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A7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D4F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3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A1E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A6D9B"/>
    <w:multiLevelType w:val="hybridMultilevel"/>
    <w:tmpl w:val="2D36EC60"/>
    <w:lvl w:ilvl="0" w:tplc="CE481C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32669"/>
    <w:multiLevelType w:val="hybridMultilevel"/>
    <w:tmpl w:val="74A2CEBA"/>
    <w:lvl w:ilvl="0" w:tplc="2EE8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A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D1F43"/>
    <w:multiLevelType w:val="hybridMultilevel"/>
    <w:tmpl w:val="184A3E98"/>
    <w:lvl w:ilvl="0" w:tplc="D276B2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9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8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4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6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886789"/>
    <w:multiLevelType w:val="hybridMultilevel"/>
    <w:tmpl w:val="7FE61D66"/>
    <w:lvl w:ilvl="0" w:tplc="203630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C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6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5134"/>
    <w:multiLevelType w:val="hybridMultilevel"/>
    <w:tmpl w:val="DBC6C972"/>
    <w:lvl w:ilvl="0" w:tplc="AD32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0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C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88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4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AD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2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20967E8"/>
    <w:multiLevelType w:val="hybridMultilevel"/>
    <w:tmpl w:val="7CE0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024280"/>
    <w:multiLevelType w:val="hybridMultilevel"/>
    <w:tmpl w:val="AF025ABE"/>
    <w:lvl w:ilvl="0" w:tplc="B1F0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9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4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C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6533F"/>
    <w:multiLevelType w:val="hybridMultilevel"/>
    <w:tmpl w:val="B6961688"/>
    <w:lvl w:ilvl="0" w:tplc="B146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0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A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F93438"/>
    <w:multiLevelType w:val="hybridMultilevel"/>
    <w:tmpl w:val="E95E4A02"/>
    <w:lvl w:ilvl="0" w:tplc="8A1A89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4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0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852DB5"/>
    <w:multiLevelType w:val="hybridMultilevel"/>
    <w:tmpl w:val="570252FC"/>
    <w:lvl w:ilvl="0" w:tplc="0AE09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8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8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D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158FF"/>
    <w:multiLevelType w:val="hybridMultilevel"/>
    <w:tmpl w:val="08641FF6"/>
    <w:lvl w:ilvl="0" w:tplc="A586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E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4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414588"/>
    <w:multiLevelType w:val="hybridMultilevel"/>
    <w:tmpl w:val="61DA4C1E"/>
    <w:lvl w:ilvl="0" w:tplc="7130BB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D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9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D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C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FA79C8"/>
    <w:multiLevelType w:val="hybridMultilevel"/>
    <w:tmpl w:val="68586186"/>
    <w:lvl w:ilvl="0" w:tplc="E2568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E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9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B6429"/>
    <w:multiLevelType w:val="hybridMultilevel"/>
    <w:tmpl w:val="753C1A72"/>
    <w:lvl w:ilvl="0" w:tplc="11E4B2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6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9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E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1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145CE"/>
    <w:multiLevelType w:val="hybridMultilevel"/>
    <w:tmpl w:val="78E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65812"/>
    <w:multiLevelType w:val="hybridMultilevel"/>
    <w:tmpl w:val="0706F3D8"/>
    <w:lvl w:ilvl="0" w:tplc="6E4E1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5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A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0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546100"/>
    <w:multiLevelType w:val="hybridMultilevel"/>
    <w:tmpl w:val="0C0A32EA"/>
    <w:lvl w:ilvl="0" w:tplc="B296A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A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AB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74922"/>
    <w:multiLevelType w:val="hybridMultilevel"/>
    <w:tmpl w:val="CD9EC50A"/>
    <w:lvl w:ilvl="0" w:tplc="AB5EA9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A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A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948D7"/>
    <w:multiLevelType w:val="hybridMultilevel"/>
    <w:tmpl w:val="5FC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448C1"/>
    <w:multiLevelType w:val="hybridMultilevel"/>
    <w:tmpl w:val="3F4A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54681"/>
    <w:multiLevelType w:val="hybridMultilevel"/>
    <w:tmpl w:val="EDAEB980"/>
    <w:lvl w:ilvl="0" w:tplc="F5AE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F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A8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4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6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9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B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EA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386F42"/>
    <w:multiLevelType w:val="hybridMultilevel"/>
    <w:tmpl w:val="EFFE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542F4B"/>
    <w:multiLevelType w:val="hybridMultilevel"/>
    <w:tmpl w:val="2806C498"/>
    <w:lvl w:ilvl="0" w:tplc="84B0C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8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4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0">
    <w:nsid w:val="757A0C27"/>
    <w:multiLevelType w:val="hybridMultilevel"/>
    <w:tmpl w:val="B07AD1DC"/>
    <w:lvl w:ilvl="0" w:tplc="9224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8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C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8634618"/>
    <w:multiLevelType w:val="hybridMultilevel"/>
    <w:tmpl w:val="B97E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8"/>
  </w:num>
  <w:num w:numId="4">
    <w:abstractNumId w:val="38"/>
  </w:num>
  <w:num w:numId="5">
    <w:abstractNumId w:val="26"/>
  </w:num>
  <w:num w:numId="6">
    <w:abstractNumId w:val="35"/>
  </w:num>
  <w:num w:numId="7">
    <w:abstractNumId w:val="24"/>
  </w:num>
  <w:num w:numId="8">
    <w:abstractNumId w:val="17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0"/>
  </w:num>
  <w:num w:numId="22">
    <w:abstractNumId w:val="32"/>
  </w:num>
  <w:num w:numId="23">
    <w:abstractNumId w:val="39"/>
  </w:num>
  <w:num w:numId="24">
    <w:abstractNumId w:val="19"/>
  </w:num>
  <w:num w:numId="25">
    <w:abstractNumId w:val="22"/>
  </w:num>
  <w:num w:numId="26">
    <w:abstractNumId w:val="25"/>
  </w:num>
  <w:num w:numId="27">
    <w:abstractNumId w:val="15"/>
  </w:num>
  <w:num w:numId="28">
    <w:abstractNumId w:val="20"/>
  </w:num>
  <w:num w:numId="29">
    <w:abstractNumId w:val="21"/>
  </w:num>
  <w:num w:numId="30">
    <w:abstractNumId w:val="23"/>
  </w:num>
  <w:num w:numId="31">
    <w:abstractNumId w:val="11"/>
  </w:num>
  <w:num w:numId="32">
    <w:abstractNumId w:val="12"/>
  </w:num>
  <w:num w:numId="33">
    <w:abstractNumId w:val="18"/>
  </w:num>
  <w:num w:numId="34">
    <w:abstractNumId w:val="37"/>
  </w:num>
  <w:num w:numId="35">
    <w:abstractNumId w:val="30"/>
  </w:num>
  <w:num w:numId="36">
    <w:abstractNumId w:val="29"/>
  </w:num>
  <w:num w:numId="37">
    <w:abstractNumId w:val="31"/>
  </w:num>
  <w:num w:numId="38">
    <w:abstractNumId w:val="13"/>
  </w:num>
  <w:num w:numId="39">
    <w:abstractNumId w:val="27"/>
  </w:num>
  <w:num w:numId="40">
    <w:abstractNumId w:val="41"/>
  </w:num>
  <w:num w:numId="41">
    <w:abstractNumId w:val="16"/>
  </w:num>
  <w:num w:numId="42">
    <w:abstractNumId w:val="36"/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1D"/>
    <w:rsid w:val="000014EB"/>
    <w:rsid w:val="00022A14"/>
    <w:rsid w:val="0003625E"/>
    <w:rsid w:val="00036B6A"/>
    <w:rsid w:val="0004441D"/>
    <w:rsid w:val="000554C5"/>
    <w:rsid w:val="00070169"/>
    <w:rsid w:val="000763C1"/>
    <w:rsid w:val="000809B5"/>
    <w:rsid w:val="000A0324"/>
    <w:rsid w:val="000B6B2B"/>
    <w:rsid w:val="000C039F"/>
    <w:rsid w:val="000C066A"/>
    <w:rsid w:val="000D3670"/>
    <w:rsid w:val="000E63F1"/>
    <w:rsid w:val="000F576E"/>
    <w:rsid w:val="00102E50"/>
    <w:rsid w:val="00112A5C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2E6D02"/>
    <w:rsid w:val="00302E58"/>
    <w:rsid w:val="00353262"/>
    <w:rsid w:val="00363828"/>
    <w:rsid w:val="00380E68"/>
    <w:rsid w:val="003874E2"/>
    <w:rsid w:val="003A783B"/>
    <w:rsid w:val="003B2CC8"/>
    <w:rsid w:val="003B677D"/>
    <w:rsid w:val="003D171D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935B9"/>
    <w:rsid w:val="004A580B"/>
    <w:rsid w:val="004B6D4D"/>
    <w:rsid w:val="004C2EAE"/>
    <w:rsid w:val="004E047C"/>
    <w:rsid w:val="004E112F"/>
    <w:rsid w:val="004E5FD8"/>
    <w:rsid w:val="004F1393"/>
    <w:rsid w:val="004F6A84"/>
    <w:rsid w:val="00501452"/>
    <w:rsid w:val="00512EF6"/>
    <w:rsid w:val="00540372"/>
    <w:rsid w:val="00543C4B"/>
    <w:rsid w:val="00544417"/>
    <w:rsid w:val="0054783D"/>
    <w:rsid w:val="005917DA"/>
    <w:rsid w:val="005A09B6"/>
    <w:rsid w:val="005F208F"/>
    <w:rsid w:val="005F43DB"/>
    <w:rsid w:val="00633683"/>
    <w:rsid w:val="00664EEE"/>
    <w:rsid w:val="00677790"/>
    <w:rsid w:val="006B047F"/>
    <w:rsid w:val="006D06BF"/>
    <w:rsid w:val="006D10BF"/>
    <w:rsid w:val="006D3E66"/>
    <w:rsid w:val="006D7F6D"/>
    <w:rsid w:val="006F20BE"/>
    <w:rsid w:val="006F76BE"/>
    <w:rsid w:val="00727F11"/>
    <w:rsid w:val="007430EF"/>
    <w:rsid w:val="00747F20"/>
    <w:rsid w:val="00750990"/>
    <w:rsid w:val="0075136D"/>
    <w:rsid w:val="0075753F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572CA"/>
    <w:rsid w:val="00880AE6"/>
    <w:rsid w:val="008856CF"/>
    <w:rsid w:val="00886F4F"/>
    <w:rsid w:val="008A07F8"/>
    <w:rsid w:val="008B2B32"/>
    <w:rsid w:val="008D3E05"/>
    <w:rsid w:val="00946EDF"/>
    <w:rsid w:val="00953E2C"/>
    <w:rsid w:val="00963E92"/>
    <w:rsid w:val="00972A15"/>
    <w:rsid w:val="0098185A"/>
    <w:rsid w:val="00985B19"/>
    <w:rsid w:val="00987888"/>
    <w:rsid w:val="009B5ABF"/>
    <w:rsid w:val="009E0B07"/>
    <w:rsid w:val="00A02B3D"/>
    <w:rsid w:val="00A11C72"/>
    <w:rsid w:val="00A2157C"/>
    <w:rsid w:val="00A24195"/>
    <w:rsid w:val="00A31642"/>
    <w:rsid w:val="00A35E5F"/>
    <w:rsid w:val="00A51C66"/>
    <w:rsid w:val="00A66275"/>
    <w:rsid w:val="00A774CF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82B"/>
    <w:rsid w:val="00BD0EA5"/>
    <w:rsid w:val="00BF34CA"/>
    <w:rsid w:val="00C07FCE"/>
    <w:rsid w:val="00C1234C"/>
    <w:rsid w:val="00C2138E"/>
    <w:rsid w:val="00C46543"/>
    <w:rsid w:val="00C6743B"/>
    <w:rsid w:val="00C67ADB"/>
    <w:rsid w:val="00CA0FAB"/>
    <w:rsid w:val="00CB4692"/>
    <w:rsid w:val="00CC4F45"/>
    <w:rsid w:val="00CD79C1"/>
    <w:rsid w:val="00CE11C1"/>
    <w:rsid w:val="00CF0AE6"/>
    <w:rsid w:val="00CF4E4A"/>
    <w:rsid w:val="00D36AF5"/>
    <w:rsid w:val="00D46152"/>
    <w:rsid w:val="00D47205"/>
    <w:rsid w:val="00D51C32"/>
    <w:rsid w:val="00D95052"/>
    <w:rsid w:val="00DB6FAD"/>
    <w:rsid w:val="00DC54CB"/>
    <w:rsid w:val="00E10136"/>
    <w:rsid w:val="00E272B9"/>
    <w:rsid w:val="00E7605D"/>
    <w:rsid w:val="00E90E08"/>
    <w:rsid w:val="00EA1B90"/>
    <w:rsid w:val="00EA4732"/>
    <w:rsid w:val="00EC1CD4"/>
    <w:rsid w:val="00EC3F0F"/>
    <w:rsid w:val="00F00B41"/>
    <w:rsid w:val="00F0451C"/>
    <w:rsid w:val="00F26A6E"/>
    <w:rsid w:val="00F41C3A"/>
    <w:rsid w:val="00F67486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  <w:rPr>
      <w:shadow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jnawrocki</cp:lastModifiedBy>
  <cp:revision>4</cp:revision>
  <cp:lastPrinted>2014-05-28T14:22:00Z</cp:lastPrinted>
  <dcterms:created xsi:type="dcterms:W3CDTF">2016-03-04T15:16:00Z</dcterms:created>
  <dcterms:modified xsi:type="dcterms:W3CDTF">2016-03-17T15:50:00Z</dcterms:modified>
</cp:coreProperties>
</file>