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5D" w:rsidRPr="00FA2F7B" w:rsidRDefault="006C565D" w:rsidP="006C565D">
      <w:pPr>
        <w:rPr>
          <w:rFonts w:asciiTheme="minorHAnsi" w:hAnsiTheme="minorHAnsi"/>
        </w:rPr>
      </w:pPr>
      <w:r w:rsidRPr="00FA2F7B">
        <w:rPr>
          <w:rFonts w:asciiTheme="minorHAnsi" w:hAnsiTheme="minorHAnsi"/>
          <w:b/>
        </w:rPr>
        <w:t>Description</w:t>
      </w:r>
      <w:r w:rsidRPr="00FA2F7B">
        <w:rPr>
          <w:rFonts w:asciiTheme="minorHAnsi" w:hAnsiTheme="minorHAnsi"/>
        </w:rPr>
        <w:t>: This guide is intended to help the faculty deliver this 60-minute discussion on basics of health care financing and coverage and how coverage impacts costs and health outcomes.</w:t>
      </w:r>
      <w:r>
        <w:rPr>
          <w:rFonts w:asciiTheme="minorHAnsi" w:hAnsiTheme="minorHAnsi"/>
        </w:rPr>
        <w:t xml:space="preserve"> </w:t>
      </w:r>
      <w:r w:rsidRPr="00FA2F7B">
        <w:rPr>
          <w:rFonts w:asciiTheme="minorHAnsi" w:hAnsiTheme="minorHAnsi"/>
        </w:rPr>
        <w:t>Inpatient and outpatient scenarios for insured and uninsured patients are explored to discuss important differences in access and cost and challenge trainees to consider these differences.</w:t>
      </w:r>
      <w:r>
        <w:rPr>
          <w:rFonts w:asciiTheme="minorHAnsi" w:hAnsiTheme="minorHAnsi"/>
        </w:rPr>
        <w:t xml:space="preserve"> </w:t>
      </w:r>
      <w:r w:rsidRPr="00FA2F7B">
        <w:rPr>
          <w:rFonts w:asciiTheme="minorHAnsi" w:hAnsiTheme="minorHAnsi"/>
        </w:rPr>
        <w:t xml:space="preserve">This is </w:t>
      </w:r>
      <w:r>
        <w:rPr>
          <w:rFonts w:asciiTheme="minorHAnsi" w:hAnsiTheme="minorHAnsi"/>
        </w:rPr>
        <w:t xml:space="preserve">the </w:t>
      </w:r>
      <w:r w:rsidRPr="00FA2F7B">
        <w:rPr>
          <w:rFonts w:asciiTheme="minorHAnsi" w:hAnsiTheme="minorHAnsi"/>
        </w:rPr>
        <w:t>second in the series of six modules.</w:t>
      </w:r>
    </w:p>
    <w:p w:rsidR="006C565D" w:rsidRPr="00FA2F7B" w:rsidRDefault="006C565D" w:rsidP="006C565D">
      <w:pPr>
        <w:rPr>
          <w:rFonts w:asciiTheme="minorHAnsi" w:hAnsiTheme="minorHAnsi"/>
        </w:rPr>
      </w:pPr>
    </w:p>
    <w:p w:rsidR="006C565D" w:rsidRPr="00FA2F7B" w:rsidRDefault="006C565D" w:rsidP="006C565D">
      <w:pPr>
        <w:rPr>
          <w:rFonts w:asciiTheme="minorHAnsi" w:hAnsiTheme="minorHAnsi"/>
        </w:rPr>
      </w:pPr>
      <w:r w:rsidRPr="00FA2F7B">
        <w:rPr>
          <w:rFonts w:asciiTheme="minorHAnsi" w:hAnsiTheme="minorHAnsi"/>
          <w:b/>
        </w:rPr>
        <w:t>Learning Objectives</w:t>
      </w:r>
      <w:r w:rsidRPr="00FA2F7B">
        <w:rPr>
          <w:rFonts w:asciiTheme="minorHAnsi" w:hAnsiTheme="minorHAnsi"/>
        </w:rPr>
        <w:t>:</w:t>
      </w:r>
    </w:p>
    <w:p w:rsidR="006C565D" w:rsidRPr="00FA2F7B" w:rsidRDefault="006C565D" w:rsidP="006C565D">
      <w:pPr>
        <w:numPr>
          <w:ilvl w:val="0"/>
          <w:numId w:val="17"/>
        </w:numPr>
        <w:rPr>
          <w:rFonts w:asciiTheme="minorHAnsi" w:hAnsiTheme="minorHAnsi"/>
        </w:rPr>
      </w:pPr>
      <w:r w:rsidRPr="00FA2F7B">
        <w:rPr>
          <w:rFonts w:asciiTheme="minorHAnsi" w:hAnsiTheme="minorHAnsi"/>
        </w:rPr>
        <w:t>Explain the basics of health insurance and coverage</w:t>
      </w:r>
      <w:r>
        <w:rPr>
          <w:rFonts w:asciiTheme="minorHAnsi" w:hAnsiTheme="minorHAnsi"/>
        </w:rPr>
        <w:t>.</w:t>
      </w:r>
    </w:p>
    <w:p w:rsidR="006C565D" w:rsidRPr="00FA2F7B" w:rsidRDefault="006C565D" w:rsidP="006C565D">
      <w:pPr>
        <w:numPr>
          <w:ilvl w:val="0"/>
          <w:numId w:val="17"/>
        </w:numPr>
        <w:rPr>
          <w:rFonts w:asciiTheme="minorHAnsi" w:hAnsiTheme="minorHAnsi"/>
        </w:rPr>
      </w:pPr>
      <w:r w:rsidRPr="00FA2F7B">
        <w:rPr>
          <w:rFonts w:asciiTheme="minorHAnsi" w:hAnsiTheme="minorHAnsi"/>
        </w:rPr>
        <w:t>Demonstrate the complexity of health</w:t>
      </w:r>
      <w:r>
        <w:rPr>
          <w:rFonts w:asciiTheme="minorHAnsi" w:hAnsiTheme="minorHAnsi"/>
        </w:rPr>
        <w:t xml:space="preserve"> </w:t>
      </w:r>
      <w:r w:rsidRPr="00FA2F7B">
        <w:rPr>
          <w:rFonts w:asciiTheme="minorHAnsi" w:hAnsiTheme="minorHAnsi"/>
        </w:rPr>
        <w:t>care costs (charges vs. reimbursement vs. out-of-pock</w:t>
      </w:r>
      <w:r>
        <w:rPr>
          <w:rFonts w:asciiTheme="minorHAnsi" w:hAnsiTheme="minorHAnsi"/>
        </w:rPr>
        <w:t xml:space="preserve">et) and the large variation in </w:t>
      </w:r>
      <w:r w:rsidRPr="00FA2F7B">
        <w:rPr>
          <w:rFonts w:asciiTheme="minorHAnsi" w:hAnsiTheme="minorHAnsi"/>
        </w:rPr>
        <w:t>out-of-pocket costs based on insurance status</w:t>
      </w:r>
      <w:r>
        <w:rPr>
          <w:rFonts w:asciiTheme="minorHAnsi" w:hAnsiTheme="minorHAnsi"/>
        </w:rPr>
        <w:t>.</w:t>
      </w:r>
    </w:p>
    <w:p w:rsidR="006C565D" w:rsidRPr="00FA2F7B" w:rsidRDefault="006C565D" w:rsidP="006C565D">
      <w:pPr>
        <w:numPr>
          <w:ilvl w:val="0"/>
          <w:numId w:val="17"/>
        </w:numPr>
        <w:rPr>
          <w:rFonts w:asciiTheme="minorHAnsi" w:hAnsiTheme="minorHAnsi"/>
        </w:rPr>
      </w:pPr>
      <w:r w:rsidRPr="00FA2F7B">
        <w:rPr>
          <w:rFonts w:asciiTheme="minorHAnsi" w:hAnsiTheme="minorHAnsi"/>
        </w:rPr>
        <w:t xml:space="preserve">Weigh the impact of insurance coverage </w:t>
      </w:r>
      <w:r>
        <w:rPr>
          <w:rFonts w:asciiTheme="minorHAnsi" w:hAnsiTheme="minorHAnsi"/>
        </w:rPr>
        <w:t xml:space="preserve">and out-of-pocket costs </w:t>
      </w:r>
      <w:r w:rsidRPr="00FA2F7B">
        <w:rPr>
          <w:rFonts w:asciiTheme="minorHAnsi" w:hAnsiTheme="minorHAnsi"/>
        </w:rPr>
        <w:t>on the ability to adhere to treatment recommendations.</w:t>
      </w:r>
    </w:p>
    <w:p w:rsidR="006C565D" w:rsidRPr="00FA2F7B" w:rsidRDefault="006C565D" w:rsidP="006C565D">
      <w:pPr>
        <w:numPr>
          <w:ilvl w:val="0"/>
          <w:numId w:val="17"/>
        </w:numPr>
        <w:rPr>
          <w:rFonts w:asciiTheme="minorHAnsi" w:hAnsiTheme="minorHAnsi"/>
        </w:rPr>
      </w:pPr>
      <w:r w:rsidRPr="00FA2F7B">
        <w:rPr>
          <w:rFonts w:asciiTheme="minorHAnsi" w:hAnsiTheme="minorHAnsi"/>
        </w:rPr>
        <w:t>Explore how provider reimbursement models can affe</w:t>
      </w:r>
      <w:r>
        <w:rPr>
          <w:rFonts w:asciiTheme="minorHAnsi" w:hAnsiTheme="minorHAnsi"/>
        </w:rPr>
        <w:t>ct delivery of high value care.</w:t>
      </w:r>
    </w:p>
    <w:p w:rsidR="006C565D" w:rsidRPr="00FA2F7B" w:rsidRDefault="006C565D" w:rsidP="006C565D">
      <w:pPr>
        <w:numPr>
          <w:ilvl w:val="0"/>
          <w:numId w:val="17"/>
        </w:numPr>
        <w:rPr>
          <w:rFonts w:asciiTheme="minorHAnsi" w:hAnsiTheme="minorHAnsi"/>
        </w:rPr>
      </w:pPr>
      <w:r w:rsidRPr="00FA2F7B">
        <w:rPr>
          <w:rFonts w:asciiTheme="minorHAnsi" w:hAnsiTheme="minorHAnsi"/>
        </w:rPr>
        <w:t>Encourage physicians to not practice “one size fits all” medicine</w:t>
      </w:r>
      <w:r>
        <w:rPr>
          <w:rFonts w:asciiTheme="minorHAnsi" w:hAnsiTheme="minorHAnsi"/>
        </w:rPr>
        <w:t>.</w:t>
      </w:r>
    </w:p>
    <w:p w:rsidR="006C565D" w:rsidRPr="00FA2F7B" w:rsidRDefault="006C565D" w:rsidP="006C565D">
      <w:pPr>
        <w:rPr>
          <w:rFonts w:asciiTheme="minorHAnsi" w:hAnsiTheme="minorHAnsi"/>
        </w:rPr>
      </w:pPr>
    </w:p>
    <w:p w:rsidR="006C565D" w:rsidRPr="00FA2F7B" w:rsidRDefault="006C565D" w:rsidP="006C565D">
      <w:pPr>
        <w:rPr>
          <w:rFonts w:asciiTheme="minorHAnsi" w:hAnsiTheme="minorHAnsi"/>
        </w:rPr>
      </w:pPr>
      <w:r w:rsidRPr="00FA2F7B">
        <w:rPr>
          <w:rFonts w:asciiTheme="minorHAnsi" w:hAnsiTheme="minorHAnsi"/>
          <w:b/>
        </w:rPr>
        <w:t xml:space="preserve">Audience and Setting: </w:t>
      </w:r>
      <w:r w:rsidRPr="00FA2F7B">
        <w:rPr>
          <w:rFonts w:asciiTheme="minorHAnsi" w:hAnsiTheme="minorHAnsi"/>
        </w:rPr>
        <w:t>The intended audience for this module is Internal Medicine residents. A large group setting with time and space for small group work within the session is best.</w:t>
      </w:r>
    </w:p>
    <w:p w:rsidR="006C565D" w:rsidRPr="00FA2F7B" w:rsidRDefault="006C565D" w:rsidP="006C565D">
      <w:pPr>
        <w:rPr>
          <w:rFonts w:asciiTheme="minorHAnsi" w:hAnsiTheme="minorHAnsi"/>
        </w:rPr>
      </w:pPr>
    </w:p>
    <w:p w:rsidR="006C565D" w:rsidRPr="00FA2F7B" w:rsidRDefault="006C565D" w:rsidP="006C565D">
      <w:pPr>
        <w:rPr>
          <w:rFonts w:asciiTheme="minorHAnsi" w:hAnsiTheme="minorHAnsi"/>
        </w:rPr>
      </w:pPr>
      <w:r w:rsidRPr="00FA2F7B">
        <w:rPr>
          <w:rFonts w:asciiTheme="minorHAnsi" w:hAnsiTheme="minorHAnsi"/>
          <w:b/>
        </w:rPr>
        <w:t>Equipment Required</w:t>
      </w:r>
      <w:r w:rsidRPr="00FA2F7B">
        <w:rPr>
          <w:rFonts w:asciiTheme="minorHAnsi" w:hAnsiTheme="minorHAnsi"/>
        </w:rPr>
        <w:t>: A computer with projector for PowerPoint</w:t>
      </w:r>
      <w:r>
        <w:rPr>
          <w:rFonts w:asciiTheme="minorHAnsi" w:hAnsiTheme="minorHAnsi"/>
        </w:rPr>
        <w:t xml:space="preserve"> presentation with audio output and</w:t>
      </w:r>
      <w:r w:rsidRPr="00FA2F7B">
        <w:rPr>
          <w:rFonts w:asciiTheme="minorHAnsi" w:hAnsiTheme="minorHAnsi"/>
        </w:rPr>
        <w:t xml:space="preserve"> a white board or flip</w:t>
      </w:r>
      <w:r>
        <w:rPr>
          <w:rFonts w:asciiTheme="minorHAnsi" w:hAnsiTheme="minorHAnsi"/>
        </w:rPr>
        <w:t xml:space="preserve"> chart for recording group work.</w:t>
      </w:r>
    </w:p>
    <w:p w:rsidR="006C565D" w:rsidRPr="00FA2F7B" w:rsidRDefault="006C565D" w:rsidP="006C565D">
      <w:pPr>
        <w:rPr>
          <w:rFonts w:asciiTheme="minorHAnsi" w:hAnsiTheme="minorHAnsi"/>
        </w:rPr>
      </w:pPr>
    </w:p>
    <w:p w:rsidR="006C565D" w:rsidRPr="00FA2F7B" w:rsidRDefault="006C565D" w:rsidP="006C565D">
      <w:pPr>
        <w:rPr>
          <w:rFonts w:asciiTheme="minorHAnsi" w:hAnsiTheme="minorHAnsi"/>
        </w:rPr>
      </w:pPr>
      <w:r w:rsidRPr="00FA2F7B">
        <w:rPr>
          <w:rFonts w:asciiTheme="minorHAnsi" w:hAnsiTheme="minorHAnsi"/>
          <w:b/>
        </w:rPr>
        <w:t>Optional</w:t>
      </w:r>
      <w:r w:rsidRPr="00FA2F7B">
        <w:rPr>
          <w:rFonts w:asciiTheme="minorHAnsi" w:hAnsiTheme="minorHAnsi"/>
        </w:rPr>
        <w:t>: A local hospital case manager and/or social worker to help answer questions and co-facilitate this session.</w:t>
      </w:r>
    </w:p>
    <w:p w:rsidR="006C565D" w:rsidRPr="00FA2F7B" w:rsidRDefault="006C565D" w:rsidP="006C565D">
      <w:pPr>
        <w:rPr>
          <w:rFonts w:asciiTheme="minorHAnsi" w:hAnsiTheme="minorHAnsi"/>
        </w:rPr>
      </w:pPr>
    </w:p>
    <w:p w:rsidR="006C565D" w:rsidRPr="00FA2F7B" w:rsidRDefault="006C565D" w:rsidP="006C565D">
      <w:pPr>
        <w:rPr>
          <w:rFonts w:asciiTheme="minorHAnsi" w:hAnsiTheme="minorHAnsi"/>
        </w:rPr>
      </w:pPr>
    </w:p>
    <w:p w:rsidR="006C565D" w:rsidRPr="00FA2F7B" w:rsidRDefault="006C565D" w:rsidP="006C565D">
      <w:pPr>
        <w:rPr>
          <w:rFonts w:asciiTheme="minorHAnsi" w:hAnsiTheme="minorHAnsi"/>
        </w:rPr>
      </w:pPr>
      <w:r w:rsidRPr="00FA2F7B">
        <w:rPr>
          <w:rFonts w:asciiTheme="minorHAnsi" w:hAnsiTheme="minorHAnsi"/>
          <w:b/>
        </w:rPr>
        <w:t>References</w:t>
      </w:r>
      <w:r w:rsidRPr="00FA2F7B">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bookmarkStart w:id="0" w:name="OLE_LINK1"/>
      <w:r w:rsidRPr="009075E7">
        <w:rPr>
          <w:rFonts w:asciiTheme="minorHAnsi" w:hAnsiTheme="minorHAnsi"/>
        </w:rPr>
        <w:t>Clip courtesy of This American Life from WBEZ Chicago</w:t>
      </w:r>
      <w:r>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 xml:space="preserve">Moriates C, Arora V, Shah N. </w:t>
      </w:r>
      <w:r w:rsidRPr="00D31D44">
        <w:rPr>
          <w:rFonts w:asciiTheme="minorHAnsi" w:hAnsiTheme="minorHAnsi"/>
          <w:i/>
          <w:iCs/>
        </w:rPr>
        <w:t>Understanding Value-Based Healthcare</w:t>
      </w:r>
      <w:r w:rsidRPr="009075E7">
        <w:rPr>
          <w:rFonts w:asciiTheme="minorHAnsi" w:hAnsiTheme="minorHAnsi"/>
        </w:rPr>
        <w:t xml:space="preserve">. </w:t>
      </w:r>
      <w:r>
        <w:rPr>
          <w:rFonts w:asciiTheme="minorHAnsi" w:hAnsiTheme="minorHAnsi"/>
        </w:rPr>
        <w:t xml:space="preserve">New York, NY: </w:t>
      </w:r>
      <w:r w:rsidRPr="009075E7">
        <w:rPr>
          <w:rFonts w:asciiTheme="minorHAnsi" w:hAnsiTheme="minorHAnsi"/>
        </w:rPr>
        <w:t>McGraw-Hill</w:t>
      </w:r>
      <w:r>
        <w:rPr>
          <w:rFonts w:asciiTheme="minorHAnsi" w:hAnsiTheme="minorHAnsi"/>
        </w:rPr>
        <w:t>;</w:t>
      </w:r>
      <w:r w:rsidRPr="009075E7">
        <w:rPr>
          <w:rFonts w:asciiTheme="minorHAnsi" w:hAnsiTheme="minorHAnsi"/>
        </w:rPr>
        <w:t xml:space="preserve"> 2015.</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 xml:space="preserve">US Census Bureau. </w:t>
      </w:r>
      <w:hyperlink r:id="rId8" w:history="1">
        <w:r w:rsidRPr="009075E7">
          <w:rPr>
            <w:rStyle w:val="Hyperlink"/>
            <w:rFonts w:asciiTheme="minorHAnsi" w:hAnsiTheme="minorHAnsi"/>
          </w:rPr>
          <w:t>www.census.gov</w:t>
        </w:r>
      </w:hyperlink>
      <w:r>
        <w:rPr>
          <w:rFonts w:asciiTheme="minorHAnsi" w:hAnsiTheme="minorHAnsi"/>
        </w:rPr>
        <w:t>. A</w:t>
      </w:r>
      <w:r w:rsidRPr="009075E7">
        <w:rPr>
          <w:rFonts w:asciiTheme="minorHAnsi" w:hAnsiTheme="minorHAnsi"/>
        </w:rPr>
        <w:t xml:space="preserve">ccessed </w:t>
      </w:r>
      <w:r>
        <w:rPr>
          <w:rFonts w:asciiTheme="minorHAnsi" w:hAnsiTheme="minorHAnsi"/>
        </w:rPr>
        <w:t xml:space="preserve">December 16, </w:t>
      </w:r>
      <w:r w:rsidRPr="009075E7">
        <w:rPr>
          <w:rFonts w:asciiTheme="minorHAnsi" w:hAnsiTheme="minorHAnsi"/>
        </w:rPr>
        <w:t>2015</w:t>
      </w:r>
      <w:r>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Altman D</w:t>
      </w:r>
      <w:r>
        <w:rPr>
          <w:rFonts w:asciiTheme="minorHAnsi" w:hAnsiTheme="minorHAnsi"/>
        </w:rPr>
        <w:t>,</w:t>
      </w:r>
      <w:r w:rsidRPr="009075E7">
        <w:rPr>
          <w:rFonts w:asciiTheme="minorHAnsi" w:hAnsiTheme="minorHAnsi"/>
        </w:rPr>
        <w:t xml:space="preserve"> Frist </w:t>
      </w:r>
      <w:r>
        <w:rPr>
          <w:rFonts w:asciiTheme="minorHAnsi" w:hAnsiTheme="minorHAnsi"/>
        </w:rPr>
        <w:t>W. Medicare and Medicaid at 50 y</w:t>
      </w:r>
      <w:r w:rsidRPr="009075E7">
        <w:rPr>
          <w:rFonts w:asciiTheme="minorHAnsi" w:hAnsiTheme="minorHAnsi"/>
        </w:rPr>
        <w:t xml:space="preserve">ears: </w:t>
      </w:r>
      <w:r>
        <w:rPr>
          <w:rFonts w:asciiTheme="minorHAnsi" w:hAnsiTheme="minorHAnsi"/>
        </w:rPr>
        <w:t>p</w:t>
      </w:r>
      <w:r w:rsidRPr="009075E7">
        <w:rPr>
          <w:rFonts w:asciiTheme="minorHAnsi" w:hAnsiTheme="minorHAnsi"/>
        </w:rPr>
        <w:t xml:space="preserve">erspectives of </w:t>
      </w:r>
      <w:r>
        <w:rPr>
          <w:rFonts w:asciiTheme="minorHAnsi" w:hAnsiTheme="minorHAnsi"/>
        </w:rPr>
        <w:t>b</w:t>
      </w:r>
      <w:r w:rsidRPr="009075E7">
        <w:rPr>
          <w:rFonts w:asciiTheme="minorHAnsi" w:hAnsiTheme="minorHAnsi"/>
        </w:rPr>
        <w:t xml:space="preserve">eneficiaries, </w:t>
      </w:r>
      <w:r>
        <w:rPr>
          <w:rFonts w:asciiTheme="minorHAnsi" w:hAnsiTheme="minorHAnsi"/>
        </w:rPr>
        <w:t>h</w:t>
      </w:r>
      <w:r w:rsidRPr="009075E7">
        <w:rPr>
          <w:rFonts w:asciiTheme="minorHAnsi" w:hAnsiTheme="minorHAnsi"/>
        </w:rPr>
        <w:t xml:space="preserve">ealth </w:t>
      </w:r>
      <w:r>
        <w:rPr>
          <w:rFonts w:asciiTheme="minorHAnsi" w:hAnsiTheme="minorHAnsi"/>
        </w:rPr>
        <w:t>c</w:t>
      </w:r>
      <w:r w:rsidRPr="009075E7">
        <w:rPr>
          <w:rFonts w:asciiTheme="minorHAnsi" w:hAnsiTheme="minorHAnsi"/>
        </w:rPr>
        <w:t xml:space="preserve">are </w:t>
      </w:r>
      <w:r>
        <w:rPr>
          <w:rFonts w:asciiTheme="minorHAnsi" w:hAnsiTheme="minorHAnsi"/>
        </w:rPr>
        <w:t>p</w:t>
      </w:r>
      <w:r w:rsidRPr="009075E7">
        <w:rPr>
          <w:rFonts w:asciiTheme="minorHAnsi" w:hAnsiTheme="minorHAnsi"/>
        </w:rPr>
        <w:t xml:space="preserve">rofessionals and </w:t>
      </w:r>
      <w:r>
        <w:rPr>
          <w:rFonts w:asciiTheme="minorHAnsi" w:hAnsiTheme="minorHAnsi"/>
        </w:rPr>
        <w:t>i</w:t>
      </w:r>
      <w:r w:rsidRPr="009075E7">
        <w:rPr>
          <w:rFonts w:asciiTheme="minorHAnsi" w:hAnsiTheme="minorHAnsi"/>
        </w:rPr>
        <w:t xml:space="preserve">nstitutions, and </w:t>
      </w:r>
      <w:r>
        <w:rPr>
          <w:rFonts w:asciiTheme="minorHAnsi" w:hAnsiTheme="minorHAnsi"/>
        </w:rPr>
        <w:t>p</w:t>
      </w:r>
      <w:r w:rsidRPr="009075E7">
        <w:rPr>
          <w:rFonts w:asciiTheme="minorHAnsi" w:hAnsiTheme="minorHAnsi"/>
        </w:rPr>
        <w:t xml:space="preserve">olicy </w:t>
      </w:r>
      <w:r>
        <w:rPr>
          <w:rFonts w:asciiTheme="minorHAnsi" w:hAnsiTheme="minorHAnsi"/>
        </w:rPr>
        <w:t>m</w:t>
      </w:r>
      <w:r w:rsidRPr="009075E7">
        <w:rPr>
          <w:rFonts w:asciiTheme="minorHAnsi" w:hAnsiTheme="minorHAnsi"/>
        </w:rPr>
        <w:t xml:space="preserve">akers. </w:t>
      </w:r>
      <w:r w:rsidRPr="00577414">
        <w:rPr>
          <w:rFonts w:asciiTheme="minorHAnsi" w:hAnsiTheme="minorHAnsi"/>
          <w:iCs/>
        </w:rPr>
        <w:t>JAMA</w:t>
      </w:r>
      <w:r>
        <w:rPr>
          <w:rFonts w:asciiTheme="minorHAnsi" w:hAnsiTheme="minorHAnsi"/>
          <w:iCs/>
        </w:rPr>
        <w:t>.</w:t>
      </w:r>
      <w:r w:rsidRPr="009075E7">
        <w:rPr>
          <w:rFonts w:asciiTheme="minorHAnsi" w:hAnsiTheme="minorHAnsi"/>
        </w:rPr>
        <w:t xml:space="preserve"> 2015;314(4):384</w:t>
      </w:r>
      <w:r>
        <w:rPr>
          <w:rFonts w:asciiTheme="minorHAnsi" w:hAnsiTheme="minorHAnsi"/>
        </w:rPr>
        <w:t>-</w:t>
      </w:r>
      <w:r w:rsidRPr="009075E7">
        <w:rPr>
          <w:rFonts w:asciiTheme="minorHAnsi" w:hAnsiTheme="minorHAnsi"/>
        </w:rPr>
        <w:t>95.</w:t>
      </w:r>
      <w:r>
        <w:rPr>
          <w:rFonts w:asciiTheme="minorHAnsi" w:hAnsiTheme="minorHAnsi"/>
        </w:rPr>
        <w:t xml:space="preserve"> [PMID: 26219056]</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 xml:space="preserve">Department of Health and Human Services. </w:t>
      </w:r>
      <w:hyperlink r:id="rId9" w:history="1">
        <w:r w:rsidRPr="003E6172">
          <w:rPr>
            <w:rStyle w:val="Hyperlink"/>
            <w:rFonts w:asciiTheme="minorHAnsi" w:hAnsiTheme="minorHAnsi"/>
          </w:rPr>
          <w:t>www.medicare.gov</w:t>
        </w:r>
      </w:hyperlink>
      <w:r>
        <w:rPr>
          <w:rFonts w:asciiTheme="minorHAnsi" w:hAnsiTheme="minorHAnsi"/>
        </w:rPr>
        <w:t>. A</w:t>
      </w:r>
      <w:r w:rsidRPr="009075E7">
        <w:rPr>
          <w:rFonts w:asciiTheme="minorHAnsi" w:hAnsiTheme="minorHAnsi"/>
        </w:rPr>
        <w:t xml:space="preserve">ccessed </w:t>
      </w:r>
      <w:r>
        <w:rPr>
          <w:rFonts w:asciiTheme="minorHAnsi" w:hAnsiTheme="minorHAnsi"/>
        </w:rPr>
        <w:t xml:space="preserve">December 16, </w:t>
      </w:r>
      <w:r w:rsidRPr="009075E7">
        <w:rPr>
          <w:rFonts w:asciiTheme="minorHAnsi" w:hAnsiTheme="minorHAnsi"/>
        </w:rPr>
        <w:t>2015</w:t>
      </w:r>
      <w:r>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 xml:space="preserve">Department of Health and Human Services. </w:t>
      </w:r>
      <w:hyperlink r:id="rId10" w:history="1">
        <w:r w:rsidRPr="003E6172">
          <w:rPr>
            <w:rStyle w:val="Hyperlink"/>
            <w:rFonts w:asciiTheme="minorHAnsi" w:hAnsiTheme="minorHAnsi"/>
          </w:rPr>
          <w:t>www.medicaid.gov</w:t>
        </w:r>
      </w:hyperlink>
      <w:r>
        <w:rPr>
          <w:rFonts w:asciiTheme="minorHAnsi" w:hAnsiTheme="minorHAnsi"/>
        </w:rPr>
        <w:t>. A</w:t>
      </w:r>
      <w:r w:rsidRPr="009075E7">
        <w:rPr>
          <w:rFonts w:asciiTheme="minorHAnsi" w:hAnsiTheme="minorHAnsi"/>
        </w:rPr>
        <w:t xml:space="preserve">ccessed </w:t>
      </w:r>
      <w:r>
        <w:rPr>
          <w:rFonts w:asciiTheme="minorHAnsi" w:hAnsiTheme="minorHAnsi"/>
        </w:rPr>
        <w:t>December 16, 2015.</w:t>
      </w:r>
    </w:p>
    <w:p w:rsidR="006C565D" w:rsidRPr="009075E7" w:rsidRDefault="006C565D" w:rsidP="006C565D">
      <w:pPr>
        <w:pStyle w:val="ListParagraph"/>
        <w:numPr>
          <w:ilvl w:val="0"/>
          <w:numId w:val="20"/>
        </w:numPr>
        <w:spacing w:beforeLines="1" w:before="2" w:afterLines="1" w:after="2"/>
        <w:rPr>
          <w:rFonts w:asciiTheme="minorHAnsi" w:hAnsiTheme="minorHAnsi"/>
        </w:rPr>
      </w:pPr>
      <w:r>
        <w:rPr>
          <w:rFonts w:asciiTheme="minorHAnsi" w:hAnsiTheme="minorHAnsi"/>
        </w:rPr>
        <w:t xml:space="preserve">Majerol M, Newkirk V, Garfield R. </w:t>
      </w:r>
      <w:r w:rsidRPr="003932B5">
        <w:rPr>
          <w:rFonts w:eastAsia="Times New Roman"/>
          <w:bCs/>
        </w:rPr>
        <w:t>The Uninsured:</w:t>
      </w:r>
      <w:r>
        <w:rPr>
          <w:rFonts w:eastAsia="Times New Roman"/>
          <w:bCs/>
        </w:rPr>
        <w:t xml:space="preserve"> </w:t>
      </w:r>
      <w:r w:rsidRPr="003932B5">
        <w:rPr>
          <w:rFonts w:eastAsia="Times New Roman"/>
          <w:bCs/>
        </w:rPr>
        <w:t xml:space="preserve">A Primer </w:t>
      </w:r>
      <w:r>
        <w:rPr>
          <w:rFonts w:eastAsia="Times New Roman"/>
          <w:bCs/>
        </w:rPr>
        <w:t>—</w:t>
      </w:r>
      <w:r w:rsidRPr="003932B5">
        <w:rPr>
          <w:rFonts w:eastAsia="Times New Roman"/>
          <w:bCs/>
        </w:rPr>
        <w:t xml:space="preserve"> Key Facts about Health Insurance and the Uninsured in the Era of Health Reform</w:t>
      </w:r>
      <w:r>
        <w:rPr>
          <w:rFonts w:eastAsia="Times New Roman"/>
          <w:bCs/>
        </w:rPr>
        <w:t xml:space="preserve">. </w:t>
      </w:r>
      <w:r w:rsidRPr="009075E7">
        <w:rPr>
          <w:rFonts w:asciiTheme="minorHAnsi" w:hAnsiTheme="minorHAnsi"/>
        </w:rPr>
        <w:t>The Henry J Ka</w:t>
      </w:r>
      <w:r>
        <w:rPr>
          <w:rFonts w:asciiTheme="minorHAnsi" w:hAnsiTheme="minorHAnsi"/>
        </w:rPr>
        <w:t>is</w:t>
      </w:r>
      <w:r w:rsidRPr="009075E7">
        <w:rPr>
          <w:rFonts w:asciiTheme="minorHAnsi" w:hAnsiTheme="minorHAnsi"/>
        </w:rPr>
        <w:t>er Family Foundation</w:t>
      </w:r>
      <w:r>
        <w:rPr>
          <w:rFonts w:asciiTheme="minorHAnsi" w:hAnsiTheme="minorHAnsi"/>
        </w:rPr>
        <w:t xml:space="preserve"> Web site</w:t>
      </w:r>
      <w:r w:rsidRPr="009075E7">
        <w:rPr>
          <w:rFonts w:asciiTheme="minorHAnsi" w:hAnsiTheme="minorHAnsi"/>
        </w:rPr>
        <w:t>.</w:t>
      </w:r>
      <w:r>
        <w:rPr>
          <w:rFonts w:eastAsia="Times New Roman"/>
          <w:bCs/>
        </w:rPr>
        <w:t xml:space="preserve"> </w:t>
      </w:r>
      <w:hyperlink r:id="rId11" w:history="1">
        <w:r w:rsidRPr="009075E7">
          <w:rPr>
            <w:rStyle w:val="Hyperlink"/>
            <w:rFonts w:asciiTheme="minorHAnsi" w:hAnsiTheme="minorHAnsi"/>
          </w:rPr>
          <w:t>http</w:t>
        </w:r>
      </w:hyperlink>
      <w:hyperlink r:id="rId12" w:history="1">
        <w:r w:rsidRPr="009075E7">
          <w:rPr>
            <w:rStyle w:val="Hyperlink"/>
            <w:rFonts w:asciiTheme="minorHAnsi" w:hAnsiTheme="minorHAnsi"/>
          </w:rPr>
          <w:t>://kff.org/uninsured/report/the-uninsured-a-primer</w:t>
        </w:r>
      </w:hyperlink>
      <w:hyperlink r:id="rId13" w:history="1">
        <w:r w:rsidRPr="009075E7">
          <w:rPr>
            <w:rStyle w:val="Hyperlink"/>
            <w:rFonts w:asciiTheme="minorHAnsi" w:hAnsiTheme="minorHAnsi"/>
          </w:rPr>
          <w:t>/</w:t>
        </w:r>
      </w:hyperlink>
      <w:r>
        <w:rPr>
          <w:rFonts w:asciiTheme="minorHAnsi" w:hAnsiTheme="minorHAnsi"/>
        </w:rPr>
        <w:t xml:space="preserve">. Published </w:t>
      </w:r>
      <w:r w:rsidRPr="003932B5">
        <w:t>Nov 13, 2015</w:t>
      </w:r>
      <w:r>
        <w:t>.</w:t>
      </w:r>
      <w:r w:rsidRPr="009075E7">
        <w:rPr>
          <w:rFonts w:asciiTheme="minorHAnsi" w:hAnsiTheme="minorHAnsi"/>
        </w:rPr>
        <w:t xml:space="preserve"> </w:t>
      </w:r>
      <w:r>
        <w:rPr>
          <w:rFonts w:asciiTheme="minorHAnsi" w:hAnsiTheme="minorHAnsi"/>
        </w:rPr>
        <w:t>A</w:t>
      </w:r>
      <w:r w:rsidRPr="009075E7">
        <w:rPr>
          <w:rFonts w:asciiTheme="minorHAnsi" w:hAnsiTheme="minorHAnsi"/>
        </w:rPr>
        <w:t xml:space="preserve">ccessed </w:t>
      </w:r>
      <w:r>
        <w:rPr>
          <w:rFonts w:asciiTheme="minorHAnsi" w:hAnsiTheme="minorHAnsi"/>
        </w:rPr>
        <w:t xml:space="preserve">December 16, </w:t>
      </w:r>
      <w:r w:rsidRPr="009075E7">
        <w:rPr>
          <w:rFonts w:asciiTheme="minorHAnsi" w:hAnsiTheme="minorHAnsi"/>
        </w:rPr>
        <w:t>2015</w:t>
      </w:r>
      <w:r>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McWilliams</w:t>
      </w:r>
      <w:r>
        <w:rPr>
          <w:rFonts w:asciiTheme="minorHAnsi" w:hAnsiTheme="minorHAnsi"/>
        </w:rPr>
        <w:t xml:space="preserve"> J</w:t>
      </w:r>
      <w:r w:rsidRPr="009075E7">
        <w:rPr>
          <w:rFonts w:asciiTheme="minorHAnsi" w:hAnsiTheme="minorHAnsi"/>
        </w:rPr>
        <w:t xml:space="preserve">. Health </w:t>
      </w:r>
      <w:r>
        <w:rPr>
          <w:rFonts w:asciiTheme="minorHAnsi" w:hAnsiTheme="minorHAnsi"/>
        </w:rPr>
        <w:t>c</w:t>
      </w:r>
      <w:r w:rsidRPr="009075E7">
        <w:rPr>
          <w:rFonts w:asciiTheme="minorHAnsi" w:hAnsiTheme="minorHAnsi"/>
        </w:rPr>
        <w:t xml:space="preserve">onsequences of </w:t>
      </w:r>
      <w:r>
        <w:rPr>
          <w:rFonts w:asciiTheme="minorHAnsi" w:hAnsiTheme="minorHAnsi"/>
        </w:rPr>
        <w:t>u</w:t>
      </w:r>
      <w:r w:rsidRPr="009075E7">
        <w:rPr>
          <w:rFonts w:asciiTheme="minorHAnsi" w:hAnsiTheme="minorHAnsi"/>
        </w:rPr>
        <w:t xml:space="preserve">ninsurance among </w:t>
      </w:r>
      <w:r>
        <w:rPr>
          <w:rFonts w:asciiTheme="minorHAnsi" w:hAnsiTheme="minorHAnsi"/>
        </w:rPr>
        <w:t>a</w:t>
      </w:r>
      <w:r w:rsidRPr="009075E7">
        <w:rPr>
          <w:rFonts w:asciiTheme="minorHAnsi" w:hAnsiTheme="minorHAnsi"/>
        </w:rPr>
        <w:t xml:space="preserve">dults in the United States: </w:t>
      </w:r>
      <w:r>
        <w:rPr>
          <w:rFonts w:asciiTheme="minorHAnsi" w:hAnsiTheme="minorHAnsi"/>
        </w:rPr>
        <w:t>recent e</w:t>
      </w:r>
      <w:r w:rsidRPr="009075E7">
        <w:rPr>
          <w:rFonts w:asciiTheme="minorHAnsi" w:hAnsiTheme="minorHAnsi"/>
        </w:rPr>
        <w:t xml:space="preserve">vidence and </w:t>
      </w:r>
      <w:r>
        <w:rPr>
          <w:rFonts w:asciiTheme="minorHAnsi" w:hAnsiTheme="minorHAnsi"/>
        </w:rPr>
        <w:t>i</w:t>
      </w:r>
      <w:r w:rsidRPr="009075E7">
        <w:rPr>
          <w:rFonts w:asciiTheme="minorHAnsi" w:hAnsiTheme="minorHAnsi"/>
        </w:rPr>
        <w:t>mplications.</w:t>
      </w:r>
      <w:r>
        <w:rPr>
          <w:rFonts w:asciiTheme="minorHAnsi" w:hAnsiTheme="minorHAnsi"/>
        </w:rPr>
        <w:t xml:space="preserve"> </w:t>
      </w:r>
      <w:r w:rsidRPr="009075E7">
        <w:rPr>
          <w:rFonts w:asciiTheme="minorHAnsi" w:hAnsiTheme="minorHAnsi"/>
        </w:rPr>
        <w:t>Milbank Q. 2009 June; 87(2):</w:t>
      </w:r>
      <w:r>
        <w:rPr>
          <w:rFonts w:asciiTheme="minorHAnsi" w:hAnsiTheme="minorHAnsi"/>
        </w:rPr>
        <w:t>443-</w:t>
      </w:r>
      <w:r w:rsidRPr="009075E7">
        <w:rPr>
          <w:rFonts w:asciiTheme="minorHAnsi" w:hAnsiTheme="minorHAnsi"/>
        </w:rPr>
        <w:t>94</w:t>
      </w:r>
      <w:r>
        <w:rPr>
          <w:rFonts w:asciiTheme="minorHAnsi" w:hAnsiTheme="minorHAnsi"/>
        </w:rPr>
        <w:t xml:space="preserve">. [PMID: </w:t>
      </w:r>
      <w:r w:rsidRPr="003932B5">
        <w:rPr>
          <w:rFonts w:eastAsia="Times New Roman"/>
        </w:rPr>
        <w:t>19523125</w:t>
      </w:r>
      <w:r>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 xml:space="preserve">Centers for Medicare and Medicaid Services. </w:t>
      </w:r>
      <w:hyperlink r:id="rId14" w:history="1">
        <w:r w:rsidRPr="009075E7">
          <w:rPr>
            <w:rStyle w:val="Hyperlink"/>
            <w:rFonts w:asciiTheme="minorHAnsi" w:hAnsiTheme="minorHAnsi"/>
          </w:rPr>
          <w:t>www.cms.gov</w:t>
        </w:r>
      </w:hyperlink>
      <w:r>
        <w:rPr>
          <w:rFonts w:asciiTheme="minorHAnsi" w:hAnsiTheme="minorHAnsi"/>
        </w:rPr>
        <w:t>. A</w:t>
      </w:r>
      <w:r w:rsidRPr="009075E7">
        <w:rPr>
          <w:rFonts w:asciiTheme="minorHAnsi" w:hAnsiTheme="minorHAnsi"/>
        </w:rPr>
        <w:t xml:space="preserve">ccessed </w:t>
      </w:r>
      <w:r>
        <w:rPr>
          <w:rFonts w:asciiTheme="minorHAnsi" w:hAnsiTheme="minorHAnsi"/>
        </w:rPr>
        <w:t xml:space="preserve">December 16, </w:t>
      </w:r>
      <w:r w:rsidRPr="009075E7">
        <w:rPr>
          <w:rFonts w:asciiTheme="minorHAnsi" w:hAnsiTheme="minorHAnsi"/>
        </w:rPr>
        <w:t>2015</w:t>
      </w:r>
      <w:r>
        <w:rPr>
          <w:rFonts w:asciiTheme="minorHAnsi" w:hAnsiTheme="minorHAnsi"/>
        </w:rPr>
        <w:t>.</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0E736D">
        <w:rPr>
          <w:rFonts w:ascii="Trebuchet MS" w:hAnsi="Trebuchet MS"/>
          <w:sz w:val="20"/>
          <w:szCs w:val="20"/>
        </w:rPr>
        <w:t>Owens, D, Qaseem A, Chou R, Shekelle P; Clinical Guidelines Committee of the American College of Physicians</w:t>
      </w:r>
      <w:r w:rsidRPr="000E736D">
        <w:rPr>
          <w:rFonts w:ascii="Trebuchet MS" w:hAnsi="Trebuchet MS"/>
          <w:i/>
          <w:iCs/>
          <w:sz w:val="20"/>
          <w:szCs w:val="20"/>
        </w:rPr>
        <w:t xml:space="preserve">. </w:t>
      </w:r>
      <w:r w:rsidRPr="000E736D">
        <w:rPr>
          <w:rFonts w:ascii="Trebuchet MS" w:eastAsia="Times New Roman" w:hAnsi="Trebuchet MS"/>
          <w:bCs/>
          <w:kern w:val="36"/>
          <w:sz w:val="20"/>
          <w:szCs w:val="20"/>
        </w:rPr>
        <w:t>High-value, cost-conscious health care: concepts for clinicians to evaluate the benefits, harms, and costs of medical interventions.</w:t>
      </w:r>
      <w:r w:rsidRPr="000E736D">
        <w:rPr>
          <w:rFonts w:ascii="Trebuchet MS" w:hAnsi="Trebuchet MS"/>
          <w:i/>
          <w:iCs/>
          <w:sz w:val="20"/>
          <w:szCs w:val="20"/>
        </w:rPr>
        <w:t xml:space="preserve"> </w:t>
      </w:r>
      <w:r w:rsidRPr="000E736D">
        <w:rPr>
          <w:rFonts w:ascii="Trebuchet MS" w:hAnsi="Trebuchet MS"/>
          <w:iCs/>
          <w:sz w:val="20"/>
          <w:szCs w:val="20"/>
        </w:rPr>
        <w:t>Ann Intern Med. 2011 Feb 1;154(3):174-80</w:t>
      </w:r>
      <w:r w:rsidRPr="000E736D">
        <w:rPr>
          <w:rFonts w:ascii="Trebuchet MS" w:hAnsi="Trebuchet MS"/>
          <w:sz w:val="20"/>
          <w:szCs w:val="20"/>
        </w:rPr>
        <w:t>. [PMID: 21282697]</w:t>
      </w:r>
    </w:p>
    <w:p w:rsidR="006C565D" w:rsidRPr="009075E7" w:rsidRDefault="006C565D" w:rsidP="006C565D">
      <w:pPr>
        <w:pStyle w:val="ListParagraph"/>
        <w:numPr>
          <w:ilvl w:val="0"/>
          <w:numId w:val="20"/>
        </w:numPr>
        <w:spacing w:beforeLines="1" w:before="2" w:afterLines="1" w:after="2"/>
        <w:rPr>
          <w:rFonts w:asciiTheme="minorHAnsi" w:hAnsiTheme="minorHAnsi"/>
        </w:rPr>
      </w:pPr>
      <w:r w:rsidRPr="009075E7">
        <w:rPr>
          <w:rFonts w:asciiTheme="minorHAnsi" w:hAnsiTheme="minorHAnsi"/>
        </w:rPr>
        <w:t xml:space="preserve">Dartmouth-Hitchcock Out-of-Pocket Estimator. </w:t>
      </w:r>
      <w:hyperlink r:id="rId15" w:history="1">
        <w:r w:rsidRPr="009075E7">
          <w:rPr>
            <w:rStyle w:val="Hyperlink"/>
            <w:rFonts w:asciiTheme="minorHAnsi" w:hAnsiTheme="minorHAnsi"/>
          </w:rPr>
          <w:t>http://</w:t>
        </w:r>
      </w:hyperlink>
      <w:hyperlink r:id="rId16" w:history="1">
        <w:r w:rsidRPr="009075E7">
          <w:rPr>
            <w:rStyle w:val="Hyperlink"/>
            <w:rFonts w:asciiTheme="minorHAnsi" w:hAnsiTheme="minorHAnsi"/>
          </w:rPr>
          <w:t>www.dartmouth-hitchcock.org/billing-charges/out_of_pocket_estimator_dhmc.html</w:t>
        </w:r>
      </w:hyperlink>
      <w:r>
        <w:rPr>
          <w:rFonts w:asciiTheme="minorHAnsi" w:hAnsiTheme="minorHAnsi"/>
        </w:rPr>
        <w:t>. A</w:t>
      </w:r>
      <w:r w:rsidRPr="009075E7">
        <w:rPr>
          <w:rFonts w:asciiTheme="minorHAnsi" w:hAnsiTheme="minorHAnsi"/>
        </w:rPr>
        <w:t xml:space="preserve">ccessed </w:t>
      </w:r>
      <w:r>
        <w:rPr>
          <w:rFonts w:asciiTheme="minorHAnsi" w:hAnsiTheme="minorHAnsi"/>
        </w:rPr>
        <w:t xml:space="preserve">December 16, </w:t>
      </w:r>
      <w:r w:rsidRPr="009075E7">
        <w:rPr>
          <w:rFonts w:asciiTheme="minorHAnsi" w:hAnsiTheme="minorHAnsi"/>
        </w:rPr>
        <w:t>2015)</w:t>
      </w:r>
    </w:p>
    <w:bookmarkEnd w:id="0"/>
    <w:p w:rsidR="006C565D" w:rsidRDefault="006C565D" w:rsidP="006C565D">
      <w:pPr>
        <w:pStyle w:val="ListParagraph"/>
        <w:ind w:left="0"/>
        <w:rPr>
          <w:rFonts w:asciiTheme="minorHAnsi" w:hAnsiTheme="minorHAnsi"/>
        </w:rPr>
      </w:pPr>
    </w:p>
    <w:p w:rsidR="006C565D" w:rsidRDefault="006C565D" w:rsidP="006C565D">
      <w:pPr>
        <w:pStyle w:val="ListParagraph"/>
        <w:ind w:left="0"/>
        <w:rPr>
          <w:rFonts w:asciiTheme="minorHAnsi" w:hAnsiTheme="minorHAnsi"/>
        </w:rPr>
      </w:pPr>
    </w:p>
    <w:p w:rsidR="006C565D" w:rsidRDefault="006C565D" w:rsidP="006C565D">
      <w:pPr>
        <w:pStyle w:val="ListParagraph"/>
        <w:ind w:left="0"/>
        <w:rPr>
          <w:rFonts w:asciiTheme="minorHAnsi" w:hAnsiTheme="minorHAnsi"/>
        </w:rPr>
      </w:pPr>
    </w:p>
    <w:p w:rsidR="006C565D" w:rsidRDefault="006C565D" w:rsidP="006C565D">
      <w:pPr>
        <w:pStyle w:val="ListParagraph"/>
        <w:ind w:left="0"/>
        <w:rPr>
          <w:rFonts w:asciiTheme="minorHAnsi" w:hAnsiTheme="minorHAnsi"/>
        </w:rPr>
      </w:pPr>
    </w:p>
    <w:p w:rsidR="006C565D" w:rsidRDefault="006C565D" w:rsidP="006C565D">
      <w:pPr>
        <w:pStyle w:val="ListParagraph"/>
        <w:ind w:left="0"/>
        <w:rPr>
          <w:rFonts w:asciiTheme="minorHAnsi" w:hAnsiTheme="minorHAnsi"/>
        </w:rPr>
      </w:pPr>
    </w:p>
    <w:p w:rsidR="006C565D" w:rsidRPr="007E4BE8" w:rsidRDefault="006C565D" w:rsidP="006C565D">
      <w:pPr>
        <w:pStyle w:val="ListParagraph"/>
        <w:ind w:left="0"/>
        <w:rPr>
          <w:rFonts w:asciiTheme="minorHAnsi" w:hAnsiTheme="minorHAnsi"/>
          <w:b/>
        </w:rPr>
      </w:pPr>
      <w:r w:rsidRPr="007E4BE8">
        <w:rPr>
          <w:rFonts w:asciiTheme="minorHAnsi" w:hAnsiTheme="minorHAnsi"/>
          <w:b/>
        </w:rPr>
        <w:t>Presentation #2 Instructions</w:t>
      </w:r>
    </w:p>
    <w:p w:rsidR="006C565D" w:rsidRPr="00FA2F7B" w:rsidRDefault="006C565D" w:rsidP="006C565D">
      <w:pPr>
        <w:pStyle w:val="ListParagraph"/>
        <w:ind w:left="630"/>
        <w:rPr>
          <w:rFonts w:asciiTheme="minorHAnsi" w:hAnsiTheme="minorHAnsi"/>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gridCol w:w="1260"/>
      </w:tblGrid>
      <w:tr w:rsidR="006C565D" w:rsidRPr="00FA2F7B" w:rsidTr="007D0465">
        <w:tc>
          <w:tcPr>
            <w:tcW w:w="720" w:type="dxa"/>
            <w:vAlign w:val="center"/>
          </w:tcPr>
          <w:p w:rsidR="006C565D" w:rsidRPr="00FA2F7B" w:rsidRDefault="006C565D" w:rsidP="007D0465">
            <w:pPr>
              <w:jc w:val="center"/>
              <w:rPr>
                <w:rFonts w:asciiTheme="minorHAnsi" w:hAnsiTheme="minorHAnsi"/>
              </w:rPr>
            </w:pPr>
            <w:r w:rsidRPr="00FA2F7B">
              <w:rPr>
                <w:rFonts w:asciiTheme="minorHAnsi" w:hAnsiTheme="minorHAnsi"/>
              </w:rPr>
              <w:t>Step</w:t>
            </w:r>
          </w:p>
        </w:tc>
        <w:tc>
          <w:tcPr>
            <w:tcW w:w="8190" w:type="dxa"/>
            <w:vAlign w:val="center"/>
          </w:tcPr>
          <w:p w:rsidR="006C565D" w:rsidRPr="00FA2F7B" w:rsidRDefault="006C565D" w:rsidP="007D0465">
            <w:pPr>
              <w:rPr>
                <w:rFonts w:asciiTheme="minorHAnsi" w:hAnsiTheme="minorHAnsi"/>
              </w:rPr>
            </w:pPr>
            <w:r w:rsidRPr="00FA2F7B">
              <w:rPr>
                <w:rFonts w:asciiTheme="minorHAnsi" w:hAnsiTheme="minorHAnsi"/>
              </w:rPr>
              <w:t>Description</w:t>
            </w:r>
          </w:p>
        </w:tc>
        <w:tc>
          <w:tcPr>
            <w:tcW w:w="1260" w:type="dxa"/>
          </w:tcPr>
          <w:p w:rsidR="006C565D" w:rsidRPr="00FA2F7B" w:rsidRDefault="006C565D" w:rsidP="007D0465">
            <w:pPr>
              <w:jc w:val="center"/>
              <w:rPr>
                <w:rFonts w:asciiTheme="minorHAnsi" w:hAnsiTheme="minorHAnsi"/>
              </w:rPr>
            </w:pPr>
            <w:r w:rsidRPr="00FA2F7B">
              <w:rPr>
                <w:rFonts w:asciiTheme="minorHAnsi" w:hAnsiTheme="minorHAnsi"/>
              </w:rPr>
              <w:t>Estimated Time</w:t>
            </w:r>
          </w:p>
        </w:tc>
      </w:tr>
      <w:tr w:rsidR="006C565D" w:rsidRPr="00FA2F7B" w:rsidTr="007D0465">
        <w:trPr>
          <w:trHeight w:val="1997"/>
        </w:trPr>
        <w:tc>
          <w:tcPr>
            <w:tcW w:w="720" w:type="dxa"/>
          </w:tcPr>
          <w:p w:rsidR="006C565D" w:rsidRPr="00FA2F7B" w:rsidRDefault="006C565D" w:rsidP="007D0465">
            <w:pPr>
              <w:jc w:val="center"/>
              <w:rPr>
                <w:rFonts w:asciiTheme="minorHAnsi" w:hAnsiTheme="minorHAnsi"/>
              </w:rPr>
            </w:pPr>
            <w:r w:rsidRPr="00FA2F7B">
              <w:rPr>
                <w:rFonts w:asciiTheme="minorHAnsi" w:hAnsiTheme="minorHAnsi"/>
              </w:rPr>
              <w:t>1</w:t>
            </w:r>
          </w:p>
        </w:tc>
        <w:tc>
          <w:tcPr>
            <w:tcW w:w="8190" w:type="dxa"/>
          </w:tcPr>
          <w:p w:rsidR="006C565D" w:rsidRPr="00FA2F7B" w:rsidRDefault="006C565D" w:rsidP="007D0465">
            <w:pPr>
              <w:rPr>
                <w:rFonts w:asciiTheme="minorHAnsi" w:hAnsiTheme="minorHAnsi"/>
              </w:rPr>
            </w:pPr>
            <w:r w:rsidRPr="00FA2F7B">
              <w:rPr>
                <w:rFonts w:asciiTheme="minorHAnsi" w:hAnsiTheme="minorHAnsi"/>
              </w:rPr>
              <w:t>Welcome participants, introduce speaker, identify the reason for the discussion</w:t>
            </w:r>
            <w:r>
              <w:rPr>
                <w:rFonts w:asciiTheme="minorHAnsi" w:hAnsiTheme="minorHAnsi"/>
              </w:rPr>
              <w:t>,</w:t>
            </w:r>
            <w:r w:rsidRPr="00FA2F7B">
              <w:rPr>
                <w:rFonts w:asciiTheme="minorHAnsi" w:hAnsiTheme="minorHAnsi"/>
              </w:rPr>
              <w:t xml:space="preserve"> including:</w:t>
            </w:r>
          </w:p>
          <w:p w:rsidR="006C565D" w:rsidRPr="00FA2F7B" w:rsidRDefault="006C565D" w:rsidP="006C565D">
            <w:pPr>
              <w:pStyle w:val="ListParagraph"/>
              <w:numPr>
                <w:ilvl w:val="0"/>
                <w:numId w:val="11"/>
              </w:numPr>
              <w:rPr>
                <w:rFonts w:asciiTheme="minorHAnsi" w:hAnsiTheme="minorHAnsi"/>
              </w:rPr>
            </w:pPr>
            <w:r w:rsidRPr="00FA2F7B">
              <w:rPr>
                <w:rFonts w:asciiTheme="minorHAnsi" w:hAnsiTheme="minorHAnsi"/>
              </w:rPr>
              <w:t>Physicians should understand the basic types of health insurance and how their decisions affect their patients financially</w:t>
            </w:r>
            <w:r>
              <w:rPr>
                <w:rFonts w:asciiTheme="minorHAnsi" w:hAnsiTheme="minorHAnsi"/>
              </w:rPr>
              <w:t>.</w:t>
            </w:r>
          </w:p>
          <w:p w:rsidR="006C565D" w:rsidRPr="00FA2F7B" w:rsidRDefault="006C565D" w:rsidP="006C565D">
            <w:pPr>
              <w:pStyle w:val="ListParagraph"/>
              <w:numPr>
                <w:ilvl w:val="0"/>
                <w:numId w:val="11"/>
              </w:numPr>
              <w:rPr>
                <w:rFonts w:asciiTheme="minorHAnsi" w:hAnsiTheme="minorHAnsi"/>
              </w:rPr>
            </w:pPr>
            <w:r w:rsidRPr="00FA2F7B">
              <w:rPr>
                <w:rFonts w:asciiTheme="minorHAnsi" w:hAnsiTheme="minorHAnsi"/>
              </w:rPr>
              <w:t>One’s insurance (or lack thereof) directly impacts out-of-pocket costs</w:t>
            </w:r>
            <w:r>
              <w:rPr>
                <w:rFonts w:asciiTheme="minorHAnsi" w:hAnsiTheme="minorHAnsi"/>
              </w:rPr>
              <w:t>,</w:t>
            </w:r>
            <w:r w:rsidRPr="00FA2F7B">
              <w:rPr>
                <w:rFonts w:asciiTheme="minorHAnsi" w:hAnsiTheme="minorHAnsi"/>
              </w:rPr>
              <w:t xml:space="preserve"> which in turn affect</w:t>
            </w:r>
            <w:r>
              <w:rPr>
                <w:rFonts w:asciiTheme="minorHAnsi" w:hAnsiTheme="minorHAnsi"/>
              </w:rPr>
              <w:t>s</w:t>
            </w:r>
            <w:r w:rsidRPr="00FA2F7B">
              <w:rPr>
                <w:rFonts w:asciiTheme="minorHAnsi" w:hAnsiTheme="minorHAnsi"/>
              </w:rPr>
              <w:t xml:space="preserve"> ability to adhere to different treatment recommendations</w:t>
            </w:r>
            <w:r>
              <w:rPr>
                <w:rFonts w:asciiTheme="minorHAnsi" w:hAnsiTheme="minorHAnsi"/>
              </w:rPr>
              <w:t>.</w:t>
            </w:r>
          </w:p>
          <w:p w:rsidR="006C565D" w:rsidRDefault="006C565D" w:rsidP="006C565D">
            <w:pPr>
              <w:pStyle w:val="ListParagraph"/>
              <w:numPr>
                <w:ilvl w:val="0"/>
                <w:numId w:val="11"/>
              </w:numPr>
              <w:rPr>
                <w:rFonts w:asciiTheme="minorHAnsi" w:hAnsiTheme="minorHAnsi"/>
              </w:rPr>
            </w:pPr>
            <w:r w:rsidRPr="00FA2F7B">
              <w:rPr>
                <w:rFonts w:asciiTheme="minorHAnsi" w:hAnsiTheme="minorHAnsi"/>
              </w:rPr>
              <w:t>Review the Learning objectives (slide #2)</w:t>
            </w:r>
            <w:r>
              <w:rPr>
                <w:rFonts w:asciiTheme="minorHAnsi" w:hAnsiTheme="minorHAnsi"/>
              </w:rPr>
              <w:t>.</w:t>
            </w:r>
          </w:p>
          <w:p w:rsidR="006C565D" w:rsidRPr="00FA2F7B" w:rsidRDefault="006C565D" w:rsidP="007D0465">
            <w:pPr>
              <w:pStyle w:val="ListParagraph"/>
              <w:ind w:left="360"/>
              <w:rPr>
                <w:rFonts w:asciiTheme="minorHAnsi" w:hAnsiTheme="minorHAnsi"/>
              </w:rPr>
            </w:pPr>
          </w:p>
        </w:tc>
        <w:tc>
          <w:tcPr>
            <w:tcW w:w="1260" w:type="dxa"/>
          </w:tcPr>
          <w:p w:rsidR="006C565D" w:rsidRPr="00FA2F7B" w:rsidRDefault="006C565D" w:rsidP="007D0465">
            <w:pPr>
              <w:rPr>
                <w:rFonts w:asciiTheme="minorHAnsi" w:hAnsiTheme="minorHAnsi"/>
              </w:rPr>
            </w:pPr>
            <w:r w:rsidRPr="00FA2F7B">
              <w:rPr>
                <w:rFonts w:asciiTheme="minorHAnsi" w:hAnsiTheme="minorHAnsi"/>
              </w:rPr>
              <w:t>5 minutes</w:t>
            </w:r>
          </w:p>
        </w:tc>
      </w:tr>
      <w:tr w:rsidR="006C565D" w:rsidRPr="00FA2F7B" w:rsidTr="007D0465">
        <w:trPr>
          <w:trHeight w:val="1970"/>
        </w:trPr>
        <w:tc>
          <w:tcPr>
            <w:tcW w:w="720" w:type="dxa"/>
          </w:tcPr>
          <w:p w:rsidR="006C565D" w:rsidRPr="00FA2F7B" w:rsidRDefault="006C565D" w:rsidP="007D0465">
            <w:pPr>
              <w:jc w:val="center"/>
              <w:rPr>
                <w:rFonts w:asciiTheme="minorHAnsi" w:hAnsiTheme="minorHAnsi"/>
              </w:rPr>
            </w:pPr>
            <w:r w:rsidRPr="00FA2F7B">
              <w:rPr>
                <w:rFonts w:asciiTheme="minorHAnsi" w:hAnsiTheme="minorHAnsi"/>
              </w:rPr>
              <w:t>2</w:t>
            </w:r>
          </w:p>
        </w:tc>
        <w:tc>
          <w:tcPr>
            <w:tcW w:w="8190" w:type="dxa"/>
          </w:tcPr>
          <w:p w:rsidR="006C565D" w:rsidRPr="00FA2F7B" w:rsidRDefault="006C565D" w:rsidP="007D0465">
            <w:pPr>
              <w:rPr>
                <w:rFonts w:asciiTheme="minorHAnsi" w:hAnsiTheme="minorHAnsi"/>
              </w:rPr>
            </w:pPr>
            <w:r w:rsidRPr="00FA2F7B">
              <w:rPr>
                <w:rFonts w:asciiTheme="minorHAnsi" w:hAnsiTheme="minorHAnsi"/>
              </w:rPr>
              <w:t xml:space="preserve">Case #1: An </w:t>
            </w:r>
            <w:r>
              <w:rPr>
                <w:rFonts w:asciiTheme="minorHAnsi" w:hAnsiTheme="minorHAnsi"/>
              </w:rPr>
              <w:t>u</w:t>
            </w:r>
            <w:r w:rsidRPr="00FA2F7B">
              <w:rPr>
                <w:rFonts w:asciiTheme="minorHAnsi" w:hAnsiTheme="minorHAnsi"/>
              </w:rPr>
              <w:t xml:space="preserve">ninsured </w:t>
            </w:r>
            <w:r>
              <w:rPr>
                <w:rFonts w:asciiTheme="minorHAnsi" w:hAnsiTheme="minorHAnsi"/>
              </w:rPr>
              <w:t>p</w:t>
            </w:r>
            <w:r w:rsidRPr="00FA2F7B">
              <w:rPr>
                <w:rFonts w:asciiTheme="minorHAnsi" w:hAnsiTheme="minorHAnsi"/>
              </w:rPr>
              <w:t xml:space="preserve">atient’s </w:t>
            </w:r>
            <w:r>
              <w:rPr>
                <w:rFonts w:asciiTheme="minorHAnsi" w:hAnsiTheme="minorHAnsi"/>
              </w:rPr>
              <w:t>p</w:t>
            </w:r>
            <w:r w:rsidRPr="00FA2F7B">
              <w:rPr>
                <w:rFonts w:asciiTheme="minorHAnsi" w:hAnsiTheme="minorHAnsi"/>
              </w:rPr>
              <w:t>erspective</w:t>
            </w:r>
          </w:p>
          <w:p w:rsidR="006C565D" w:rsidRPr="00FA2F7B" w:rsidRDefault="006C565D" w:rsidP="006C565D">
            <w:pPr>
              <w:pStyle w:val="ListParagraph"/>
              <w:numPr>
                <w:ilvl w:val="0"/>
                <w:numId w:val="1"/>
              </w:numPr>
              <w:rPr>
                <w:rFonts w:asciiTheme="minorHAnsi" w:hAnsiTheme="minorHAnsi"/>
              </w:rPr>
            </w:pPr>
            <w:r w:rsidRPr="00FA2F7B">
              <w:rPr>
                <w:rFonts w:asciiTheme="minorHAnsi" w:hAnsiTheme="minorHAnsi"/>
              </w:rPr>
              <w:t xml:space="preserve">Present the </w:t>
            </w:r>
            <w:r>
              <w:rPr>
                <w:rFonts w:asciiTheme="minorHAnsi" w:hAnsiTheme="minorHAnsi"/>
              </w:rPr>
              <w:t xml:space="preserve">case of a </w:t>
            </w:r>
            <w:r w:rsidRPr="00FA2F7B">
              <w:rPr>
                <w:rFonts w:asciiTheme="minorHAnsi" w:hAnsiTheme="minorHAnsi"/>
              </w:rPr>
              <w:t>young man with severe abdominal pain who wanted to avoid going to the ho</w:t>
            </w:r>
            <w:r>
              <w:rPr>
                <w:rFonts w:asciiTheme="minorHAnsi" w:hAnsiTheme="minorHAnsi"/>
              </w:rPr>
              <w:t>spital because of lack of insurance.</w:t>
            </w:r>
          </w:p>
          <w:p w:rsidR="006C565D" w:rsidRPr="00FA2F7B" w:rsidRDefault="006C565D" w:rsidP="006C565D">
            <w:pPr>
              <w:pStyle w:val="ListParagraph"/>
              <w:numPr>
                <w:ilvl w:val="0"/>
                <w:numId w:val="1"/>
              </w:numPr>
              <w:rPr>
                <w:rFonts w:asciiTheme="minorHAnsi" w:hAnsiTheme="minorHAnsi"/>
              </w:rPr>
            </w:pPr>
            <w:r w:rsidRPr="00FA2F7B">
              <w:rPr>
                <w:rFonts w:asciiTheme="minorHAnsi" w:hAnsiTheme="minorHAnsi"/>
              </w:rPr>
              <w:t>Play the approx</w:t>
            </w:r>
            <w:r>
              <w:rPr>
                <w:rFonts w:asciiTheme="minorHAnsi" w:hAnsiTheme="minorHAnsi"/>
              </w:rPr>
              <w:t>.</w:t>
            </w:r>
            <w:r w:rsidRPr="00FA2F7B">
              <w:rPr>
                <w:rFonts w:asciiTheme="minorHAnsi" w:hAnsiTheme="minorHAnsi"/>
              </w:rPr>
              <w:t xml:space="preserve"> 2-minute </w:t>
            </w:r>
            <w:r>
              <w:rPr>
                <w:rFonts w:asciiTheme="minorHAnsi" w:hAnsiTheme="minorHAnsi"/>
              </w:rPr>
              <w:t>audio</w:t>
            </w:r>
            <w:r w:rsidRPr="00FA2F7B">
              <w:rPr>
                <w:rFonts w:asciiTheme="minorHAnsi" w:hAnsiTheme="minorHAnsi"/>
              </w:rPr>
              <w:t xml:space="preserve"> snippet (should automatically play when slide #4 is opened). The snippet discusses this patient’s perspective when he received the hospital bill in the mail</w:t>
            </w:r>
            <w:r>
              <w:rPr>
                <w:rFonts w:asciiTheme="minorHAnsi" w:hAnsiTheme="minorHAnsi"/>
              </w:rPr>
              <w:t>.</w:t>
            </w:r>
          </w:p>
          <w:p w:rsidR="006C565D" w:rsidRDefault="006C565D" w:rsidP="006C565D">
            <w:pPr>
              <w:pStyle w:val="ListParagraph"/>
              <w:numPr>
                <w:ilvl w:val="0"/>
                <w:numId w:val="1"/>
              </w:numPr>
              <w:rPr>
                <w:rFonts w:asciiTheme="minorHAnsi" w:hAnsiTheme="minorHAnsi"/>
              </w:rPr>
            </w:pPr>
            <w:r w:rsidRPr="00FA2F7B">
              <w:rPr>
                <w:rFonts w:asciiTheme="minorHAnsi" w:hAnsiTheme="minorHAnsi"/>
              </w:rPr>
              <w:t xml:space="preserve">Emphasize (in notes section of </w:t>
            </w:r>
            <w:r>
              <w:rPr>
                <w:rFonts w:asciiTheme="minorHAnsi" w:hAnsiTheme="minorHAnsi"/>
              </w:rPr>
              <w:t>s</w:t>
            </w:r>
            <w:r w:rsidRPr="00FA2F7B">
              <w:rPr>
                <w:rFonts w:asciiTheme="minorHAnsi" w:hAnsiTheme="minorHAnsi"/>
              </w:rPr>
              <w:t xml:space="preserve">lide #4) that medical bills </w:t>
            </w:r>
            <w:r>
              <w:rPr>
                <w:rFonts w:asciiTheme="minorHAnsi" w:hAnsiTheme="minorHAnsi"/>
              </w:rPr>
              <w:t>are</w:t>
            </w:r>
            <w:r w:rsidRPr="00FA2F7B">
              <w:rPr>
                <w:rFonts w:asciiTheme="minorHAnsi" w:hAnsiTheme="minorHAnsi"/>
              </w:rPr>
              <w:t xml:space="preserve"> the leading cause </w:t>
            </w:r>
            <w:r>
              <w:rPr>
                <w:rFonts w:asciiTheme="minorHAnsi" w:hAnsiTheme="minorHAnsi"/>
              </w:rPr>
              <w:t>for personal bankruptcy in the U.</w:t>
            </w:r>
            <w:r w:rsidRPr="00FA2F7B">
              <w:rPr>
                <w:rFonts w:asciiTheme="minorHAnsi" w:hAnsiTheme="minorHAnsi"/>
              </w:rPr>
              <w:t>S.</w:t>
            </w:r>
          </w:p>
          <w:p w:rsidR="006C565D" w:rsidRDefault="006C565D" w:rsidP="006C565D">
            <w:pPr>
              <w:pStyle w:val="ListParagraph"/>
              <w:numPr>
                <w:ilvl w:val="0"/>
                <w:numId w:val="1"/>
              </w:numPr>
              <w:rPr>
                <w:rFonts w:asciiTheme="minorHAnsi" w:hAnsiTheme="minorHAnsi"/>
              </w:rPr>
            </w:pPr>
            <w:r>
              <w:rPr>
                <w:rFonts w:asciiTheme="minorHAnsi" w:hAnsiTheme="minorHAnsi"/>
              </w:rPr>
              <w:t>Define key terms in health care cost that must be understood to have this discussion (slide #5).</w:t>
            </w:r>
          </w:p>
          <w:p w:rsidR="006C565D" w:rsidRPr="00FA2F7B" w:rsidRDefault="006C565D" w:rsidP="007D0465">
            <w:pPr>
              <w:pStyle w:val="ListParagraph"/>
              <w:ind w:left="360"/>
              <w:rPr>
                <w:rFonts w:asciiTheme="minorHAnsi" w:hAnsiTheme="minorHAnsi"/>
              </w:rPr>
            </w:pPr>
          </w:p>
        </w:tc>
        <w:tc>
          <w:tcPr>
            <w:tcW w:w="1260" w:type="dxa"/>
          </w:tcPr>
          <w:p w:rsidR="006C565D" w:rsidRPr="00FA2F7B" w:rsidRDefault="006C565D" w:rsidP="007D0465">
            <w:pPr>
              <w:rPr>
                <w:rFonts w:asciiTheme="minorHAnsi" w:hAnsiTheme="minorHAnsi"/>
              </w:rPr>
            </w:pPr>
            <w:r w:rsidRPr="00FA2F7B">
              <w:rPr>
                <w:rFonts w:asciiTheme="minorHAnsi" w:hAnsiTheme="minorHAnsi"/>
              </w:rPr>
              <w:t>5 minutes</w:t>
            </w:r>
          </w:p>
        </w:tc>
      </w:tr>
      <w:tr w:rsidR="006C565D" w:rsidRPr="00FA2F7B" w:rsidTr="007D0465">
        <w:trPr>
          <w:trHeight w:val="3095"/>
        </w:trPr>
        <w:tc>
          <w:tcPr>
            <w:tcW w:w="720" w:type="dxa"/>
          </w:tcPr>
          <w:p w:rsidR="006C565D" w:rsidRPr="00FA2F7B" w:rsidRDefault="006C565D" w:rsidP="007D0465">
            <w:pPr>
              <w:jc w:val="center"/>
              <w:rPr>
                <w:rFonts w:asciiTheme="minorHAnsi" w:hAnsiTheme="minorHAnsi"/>
              </w:rPr>
            </w:pPr>
            <w:r w:rsidRPr="00FA2F7B">
              <w:rPr>
                <w:rFonts w:asciiTheme="minorHAnsi" w:hAnsiTheme="minorHAnsi"/>
              </w:rPr>
              <w:t>3</w:t>
            </w:r>
          </w:p>
        </w:tc>
        <w:tc>
          <w:tcPr>
            <w:tcW w:w="8190" w:type="dxa"/>
          </w:tcPr>
          <w:p w:rsidR="006C565D" w:rsidRPr="00FA2F7B" w:rsidRDefault="006C565D" w:rsidP="007D0465">
            <w:pPr>
              <w:rPr>
                <w:rFonts w:asciiTheme="minorHAnsi" w:hAnsiTheme="minorHAnsi"/>
              </w:rPr>
            </w:pPr>
            <w:r w:rsidRPr="00FA2F7B">
              <w:rPr>
                <w:rFonts w:asciiTheme="minorHAnsi" w:hAnsiTheme="minorHAnsi"/>
              </w:rPr>
              <w:t xml:space="preserve">Basic </w:t>
            </w:r>
            <w:r>
              <w:rPr>
                <w:rFonts w:asciiTheme="minorHAnsi" w:hAnsiTheme="minorHAnsi"/>
              </w:rPr>
              <w:t>t</w:t>
            </w:r>
            <w:r w:rsidRPr="00FA2F7B">
              <w:rPr>
                <w:rFonts w:asciiTheme="minorHAnsi" w:hAnsiTheme="minorHAnsi"/>
              </w:rPr>
              <w:t xml:space="preserve">ypes of </w:t>
            </w:r>
            <w:r>
              <w:rPr>
                <w:rFonts w:asciiTheme="minorHAnsi" w:hAnsiTheme="minorHAnsi"/>
              </w:rPr>
              <w:t>h</w:t>
            </w:r>
            <w:r w:rsidRPr="00FA2F7B">
              <w:rPr>
                <w:rFonts w:asciiTheme="minorHAnsi" w:hAnsiTheme="minorHAnsi"/>
              </w:rPr>
              <w:t xml:space="preserve">ealth </w:t>
            </w:r>
            <w:r>
              <w:rPr>
                <w:rFonts w:asciiTheme="minorHAnsi" w:hAnsiTheme="minorHAnsi"/>
              </w:rPr>
              <w:t>i</w:t>
            </w:r>
            <w:r w:rsidRPr="00FA2F7B">
              <w:rPr>
                <w:rFonts w:asciiTheme="minorHAnsi" w:hAnsiTheme="minorHAnsi"/>
              </w:rPr>
              <w:t>nsurance</w:t>
            </w:r>
          </w:p>
          <w:p w:rsidR="006C565D" w:rsidRPr="00FA2F7B" w:rsidRDefault="006C565D" w:rsidP="006C565D">
            <w:pPr>
              <w:pStyle w:val="ListParagraph"/>
              <w:numPr>
                <w:ilvl w:val="0"/>
                <w:numId w:val="2"/>
              </w:numPr>
              <w:rPr>
                <w:rFonts w:asciiTheme="minorHAnsi" w:hAnsiTheme="minorHAnsi"/>
              </w:rPr>
            </w:pPr>
            <w:r w:rsidRPr="00FA2F7B">
              <w:rPr>
                <w:rFonts w:asciiTheme="minorHAnsi" w:hAnsiTheme="minorHAnsi"/>
              </w:rPr>
              <w:t>Review the sources of health insurance (slide #</w:t>
            </w:r>
            <w:r>
              <w:rPr>
                <w:rFonts w:asciiTheme="minorHAnsi" w:hAnsiTheme="minorHAnsi"/>
              </w:rPr>
              <w:t>6</w:t>
            </w:r>
            <w:r w:rsidRPr="00FA2F7B">
              <w:rPr>
                <w:rFonts w:asciiTheme="minorHAnsi" w:hAnsiTheme="minorHAnsi"/>
              </w:rPr>
              <w:t>) and the most common reasons for lack of coverage</w:t>
            </w:r>
            <w:r>
              <w:rPr>
                <w:rFonts w:asciiTheme="minorHAnsi" w:hAnsiTheme="minorHAnsi"/>
              </w:rPr>
              <w:t>.</w:t>
            </w:r>
          </w:p>
          <w:p w:rsidR="006C565D" w:rsidRDefault="006C565D" w:rsidP="006C565D">
            <w:pPr>
              <w:pStyle w:val="ListParagraph"/>
              <w:numPr>
                <w:ilvl w:val="0"/>
                <w:numId w:val="2"/>
              </w:numPr>
              <w:rPr>
                <w:rFonts w:asciiTheme="minorHAnsi" w:hAnsiTheme="minorHAnsi"/>
              </w:rPr>
            </w:pPr>
            <w:r w:rsidRPr="00FA2F7B">
              <w:rPr>
                <w:rFonts w:asciiTheme="minorHAnsi" w:hAnsiTheme="minorHAnsi"/>
              </w:rPr>
              <w:t>Briefly discuss that Medicare and Medicaid p</w:t>
            </w:r>
            <w:r>
              <w:rPr>
                <w:rFonts w:asciiTheme="minorHAnsi" w:hAnsiTheme="minorHAnsi"/>
              </w:rPr>
              <w:t>a</w:t>
            </w:r>
            <w:r w:rsidRPr="00FA2F7B">
              <w:rPr>
                <w:rFonts w:asciiTheme="minorHAnsi" w:hAnsiTheme="minorHAnsi"/>
              </w:rPr>
              <w:t>t</w:t>
            </w:r>
            <w:r>
              <w:rPr>
                <w:rFonts w:asciiTheme="minorHAnsi" w:hAnsiTheme="minorHAnsi"/>
              </w:rPr>
              <w:t>ient</w:t>
            </w:r>
            <w:r w:rsidRPr="00FA2F7B">
              <w:rPr>
                <w:rFonts w:asciiTheme="minorHAnsi" w:hAnsiTheme="minorHAnsi"/>
              </w:rPr>
              <w:t xml:space="preserve">s tend to be sicker and require </w:t>
            </w:r>
            <w:r>
              <w:rPr>
                <w:rFonts w:asciiTheme="minorHAnsi" w:hAnsiTheme="minorHAnsi"/>
              </w:rPr>
              <w:t xml:space="preserve">a </w:t>
            </w:r>
            <w:r w:rsidRPr="00FA2F7B">
              <w:rPr>
                <w:rFonts w:asciiTheme="minorHAnsi" w:hAnsiTheme="minorHAnsi"/>
              </w:rPr>
              <w:t>higher percentage of health care dollars than those with employer-based insurance</w:t>
            </w:r>
            <w:r>
              <w:rPr>
                <w:rFonts w:asciiTheme="minorHAnsi" w:hAnsiTheme="minorHAnsi"/>
              </w:rPr>
              <w:t>.</w:t>
            </w:r>
          </w:p>
          <w:p w:rsidR="006C565D" w:rsidRPr="00FA2F7B" w:rsidRDefault="006C565D" w:rsidP="006C565D">
            <w:pPr>
              <w:pStyle w:val="ListParagraph"/>
              <w:numPr>
                <w:ilvl w:val="0"/>
                <w:numId w:val="2"/>
              </w:numPr>
              <w:rPr>
                <w:rFonts w:asciiTheme="minorHAnsi" w:hAnsiTheme="minorHAnsi"/>
              </w:rPr>
            </w:pPr>
            <w:r w:rsidRPr="00FA2F7B">
              <w:rPr>
                <w:rFonts w:asciiTheme="minorHAnsi" w:hAnsiTheme="minorHAnsi"/>
              </w:rPr>
              <w:t xml:space="preserve">Review </w:t>
            </w:r>
            <w:r>
              <w:rPr>
                <w:rFonts w:asciiTheme="minorHAnsi" w:hAnsiTheme="minorHAnsi"/>
              </w:rPr>
              <w:t>i</w:t>
            </w:r>
            <w:r w:rsidRPr="00FA2F7B">
              <w:rPr>
                <w:rFonts w:asciiTheme="minorHAnsi" w:hAnsiTheme="minorHAnsi"/>
              </w:rPr>
              <w:t>ndividual private insurance</w:t>
            </w:r>
            <w:r>
              <w:rPr>
                <w:rFonts w:asciiTheme="minorHAnsi" w:hAnsiTheme="minorHAnsi"/>
              </w:rPr>
              <w:t xml:space="preserve"> (slide #7)</w:t>
            </w:r>
            <w:r w:rsidRPr="00FA2F7B">
              <w:rPr>
                <w:rFonts w:asciiTheme="minorHAnsi" w:hAnsiTheme="minorHAnsi"/>
              </w:rPr>
              <w:t xml:space="preserve">, which is an uncommon method for paying for health care. </w:t>
            </w:r>
            <w:r>
              <w:rPr>
                <w:rFonts w:asciiTheme="minorHAnsi" w:hAnsiTheme="minorHAnsi"/>
              </w:rPr>
              <w:t>Because of</w:t>
            </w:r>
            <w:r w:rsidRPr="00FA2F7B">
              <w:rPr>
                <w:rFonts w:asciiTheme="minorHAnsi" w:hAnsiTheme="minorHAnsi"/>
              </w:rPr>
              <w:t xml:space="preserve"> overhead</w:t>
            </w:r>
            <w:r>
              <w:rPr>
                <w:rFonts w:asciiTheme="minorHAnsi" w:hAnsiTheme="minorHAnsi"/>
              </w:rPr>
              <w:t>,</w:t>
            </w:r>
            <w:r w:rsidRPr="00FA2F7B">
              <w:rPr>
                <w:rFonts w:asciiTheme="minorHAnsi" w:hAnsiTheme="minorHAnsi"/>
              </w:rPr>
              <w:t xml:space="preserve"> it is a more expensive way to finance health care</w:t>
            </w:r>
            <w:r>
              <w:rPr>
                <w:rFonts w:asciiTheme="minorHAnsi" w:hAnsiTheme="minorHAnsi"/>
              </w:rPr>
              <w:t>.</w:t>
            </w:r>
          </w:p>
          <w:p w:rsidR="006C565D" w:rsidRPr="00FA2F7B" w:rsidRDefault="006C565D" w:rsidP="006C565D">
            <w:pPr>
              <w:pStyle w:val="ListParagraph"/>
              <w:numPr>
                <w:ilvl w:val="0"/>
                <w:numId w:val="2"/>
              </w:numPr>
              <w:rPr>
                <w:rFonts w:asciiTheme="minorHAnsi" w:hAnsiTheme="minorHAnsi"/>
              </w:rPr>
            </w:pPr>
            <w:r w:rsidRPr="00FA2F7B">
              <w:rPr>
                <w:rFonts w:asciiTheme="minorHAnsi" w:hAnsiTheme="minorHAnsi"/>
              </w:rPr>
              <w:t>Discuss employment-based insurance</w:t>
            </w:r>
            <w:r>
              <w:rPr>
                <w:rFonts w:asciiTheme="minorHAnsi" w:hAnsiTheme="minorHAnsi"/>
              </w:rPr>
              <w:t xml:space="preserve"> (slide #8)</w:t>
            </w:r>
            <w:r w:rsidRPr="00FA2F7B">
              <w:rPr>
                <w:rFonts w:asciiTheme="minorHAnsi" w:hAnsiTheme="minorHAnsi"/>
              </w:rPr>
              <w:t xml:space="preserve"> and how it is</w:t>
            </w:r>
            <w:r>
              <w:rPr>
                <w:rFonts w:asciiTheme="minorHAnsi" w:hAnsiTheme="minorHAnsi"/>
              </w:rPr>
              <w:t>,</w:t>
            </w:r>
            <w:r w:rsidRPr="00FA2F7B">
              <w:rPr>
                <w:rFonts w:asciiTheme="minorHAnsi" w:hAnsiTheme="minorHAnsi"/>
              </w:rPr>
              <w:t xml:space="preserve"> in essence</w:t>
            </w:r>
            <w:r>
              <w:rPr>
                <w:rFonts w:asciiTheme="minorHAnsi" w:hAnsiTheme="minorHAnsi"/>
              </w:rPr>
              <w:t>,</w:t>
            </w:r>
            <w:r w:rsidRPr="00FA2F7B">
              <w:rPr>
                <w:rFonts w:asciiTheme="minorHAnsi" w:hAnsiTheme="minorHAnsi"/>
              </w:rPr>
              <w:t xml:space="preserve"> subsidized by the government.</w:t>
            </w:r>
          </w:p>
          <w:p w:rsidR="006C565D" w:rsidRDefault="006C565D" w:rsidP="006C565D">
            <w:pPr>
              <w:pStyle w:val="ListParagraph"/>
              <w:numPr>
                <w:ilvl w:val="0"/>
                <w:numId w:val="2"/>
              </w:numPr>
              <w:rPr>
                <w:rFonts w:asciiTheme="minorHAnsi" w:hAnsiTheme="minorHAnsi"/>
              </w:rPr>
            </w:pPr>
            <w:r w:rsidRPr="007668E4">
              <w:rPr>
                <w:rFonts w:asciiTheme="minorHAnsi" w:hAnsiTheme="minorHAnsi"/>
              </w:rPr>
              <w:t>Give a brief overview of Government Financed Insurance (slides #</w:t>
            </w:r>
            <w:r>
              <w:rPr>
                <w:rFonts w:asciiTheme="minorHAnsi" w:hAnsiTheme="minorHAnsi"/>
              </w:rPr>
              <w:t>9</w:t>
            </w:r>
            <w:r w:rsidRPr="007668E4">
              <w:rPr>
                <w:rFonts w:asciiTheme="minorHAnsi" w:hAnsiTheme="minorHAnsi"/>
              </w:rPr>
              <w:t xml:space="preserve"> </w:t>
            </w:r>
            <w:r>
              <w:rPr>
                <w:rFonts w:asciiTheme="minorHAnsi" w:hAnsiTheme="minorHAnsi"/>
              </w:rPr>
              <w:t>through #12).</w:t>
            </w:r>
          </w:p>
          <w:p w:rsidR="006C565D" w:rsidRPr="007668E4" w:rsidRDefault="006C565D" w:rsidP="007D0465">
            <w:pPr>
              <w:pStyle w:val="ListParagraph"/>
              <w:ind w:left="360"/>
              <w:rPr>
                <w:rFonts w:asciiTheme="minorHAnsi" w:hAnsiTheme="minorHAnsi"/>
              </w:rPr>
            </w:pPr>
          </w:p>
        </w:tc>
        <w:tc>
          <w:tcPr>
            <w:tcW w:w="1260" w:type="dxa"/>
          </w:tcPr>
          <w:p w:rsidR="006C565D" w:rsidRPr="00FA2F7B" w:rsidRDefault="006C565D" w:rsidP="007D0465">
            <w:pPr>
              <w:rPr>
                <w:rFonts w:asciiTheme="minorHAnsi" w:hAnsiTheme="minorHAnsi"/>
              </w:rPr>
            </w:pPr>
            <w:r w:rsidRPr="00FA2F7B">
              <w:rPr>
                <w:rFonts w:asciiTheme="minorHAnsi" w:hAnsiTheme="minorHAnsi"/>
              </w:rPr>
              <w:t>5 minutes</w:t>
            </w:r>
          </w:p>
        </w:tc>
      </w:tr>
      <w:tr w:rsidR="006C565D" w:rsidRPr="00FA2F7B" w:rsidTr="007D0465">
        <w:tc>
          <w:tcPr>
            <w:tcW w:w="720" w:type="dxa"/>
          </w:tcPr>
          <w:p w:rsidR="006C565D" w:rsidRPr="00FA2F7B" w:rsidRDefault="006C565D" w:rsidP="007D0465">
            <w:pPr>
              <w:jc w:val="center"/>
              <w:rPr>
                <w:rFonts w:asciiTheme="minorHAnsi" w:hAnsiTheme="minorHAnsi"/>
              </w:rPr>
            </w:pPr>
            <w:r>
              <w:rPr>
                <w:rFonts w:asciiTheme="minorHAnsi" w:hAnsiTheme="minorHAnsi"/>
              </w:rPr>
              <w:t>4</w:t>
            </w:r>
          </w:p>
        </w:tc>
        <w:tc>
          <w:tcPr>
            <w:tcW w:w="8190" w:type="dxa"/>
          </w:tcPr>
          <w:p w:rsidR="006C565D" w:rsidRDefault="006C565D" w:rsidP="007D0465">
            <w:pPr>
              <w:rPr>
                <w:rFonts w:asciiTheme="minorHAnsi" w:hAnsiTheme="minorHAnsi"/>
              </w:rPr>
            </w:pPr>
            <w:r>
              <w:rPr>
                <w:rFonts w:asciiTheme="minorHAnsi" w:hAnsiTheme="minorHAnsi"/>
              </w:rPr>
              <w:t>Affordable Care Act</w:t>
            </w:r>
          </w:p>
          <w:p w:rsidR="006C565D" w:rsidRDefault="006C565D" w:rsidP="006C565D">
            <w:pPr>
              <w:pStyle w:val="ListParagraph"/>
              <w:numPr>
                <w:ilvl w:val="0"/>
                <w:numId w:val="2"/>
              </w:numPr>
              <w:rPr>
                <w:rFonts w:asciiTheme="minorHAnsi" w:hAnsiTheme="minorHAnsi"/>
              </w:rPr>
            </w:pPr>
            <w:r>
              <w:rPr>
                <w:rFonts w:asciiTheme="minorHAnsi" w:hAnsiTheme="minorHAnsi"/>
              </w:rPr>
              <w:t>Discuss who composed the uninsured prior to the ACA (slide #13).</w:t>
            </w:r>
          </w:p>
          <w:p w:rsidR="006C565D" w:rsidRDefault="006C565D" w:rsidP="006C565D">
            <w:pPr>
              <w:pStyle w:val="ListParagraph"/>
              <w:numPr>
                <w:ilvl w:val="0"/>
                <w:numId w:val="2"/>
              </w:numPr>
              <w:rPr>
                <w:rFonts w:asciiTheme="minorHAnsi" w:hAnsiTheme="minorHAnsi"/>
              </w:rPr>
            </w:pPr>
            <w:r>
              <w:rPr>
                <w:rFonts w:asciiTheme="minorHAnsi" w:hAnsiTheme="minorHAnsi"/>
              </w:rPr>
              <w:t>I</w:t>
            </w:r>
            <w:r w:rsidRPr="00FA2F7B">
              <w:rPr>
                <w:rFonts w:asciiTheme="minorHAnsi" w:hAnsiTheme="minorHAnsi"/>
              </w:rPr>
              <w:t xml:space="preserve">ntroduce the </w:t>
            </w:r>
            <w:r>
              <w:rPr>
                <w:rFonts w:asciiTheme="minorHAnsi" w:hAnsiTheme="minorHAnsi"/>
              </w:rPr>
              <w:t xml:space="preserve">aims of the Affordable Care Act and the associated </w:t>
            </w:r>
            <w:r w:rsidRPr="00FA2F7B">
              <w:rPr>
                <w:rFonts w:asciiTheme="minorHAnsi" w:hAnsiTheme="minorHAnsi"/>
              </w:rPr>
              <w:t xml:space="preserve">expansion of Medicaid </w:t>
            </w:r>
            <w:r>
              <w:rPr>
                <w:rFonts w:asciiTheme="minorHAnsi" w:hAnsiTheme="minorHAnsi"/>
              </w:rPr>
              <w:t>(slide #14).</w:t>
            </w:r>
          </w:p>
          <w:p w:rsidR="006C565D" w:rsidRPr="00232209" w:rsidRDefault="006C565D" w:rsidP="007D0465">
            <w:pPr>
              <w:pStyle w:val="ListParagraph"/>
              <w:ind w:left="360"/>
              <w:rPr>
                <w:rFonts w:asciiTheme="minorHAnsi" w:hAnsiTheme="minorHAnsi"/>
              </w:rPr>
            </w:pPr>
          </w:p>
        </w:tc>
        <w:tc>
          <w:tcPr>
            <w:tcW w:w="1260" w:type="dxa"/>
          </w:tcPr>
          <w:p w:rsidR="006C565D" w:rsidRPr="00FA2F7B" w:rsidRDefault="006C565D" w:rsidP="007D0465">
            <w:pPr>
              <w:rPr>
                <w:rFonts w:asciiTheme="minorHAnsi" w:hAnsiTheme="minorHAnsi"/>
              </w:rPr>
            </w:pPr>
            <w:r>
              <w:rPr>
                <w:rFonts w:asciiTheme="minorHAnsi" w:hAnsiTheme="minorHAnsi"/>
              </w:rPr>
              <w:t>5 minutes</w:t>
            </w:r>
          </w:p>
        </w:tc>
      </w:tr>
      <w:tr w:rsidR="006C565D" w:rsidRPr="00FA2F7B" w:rsidTr="007D0465">
        <w:tc>
          <w:tcPr>
            <w:tcW w:w="720" w:type="dxa"/>
          </w:tcPr>
          <w:p w:rsidR="006C565D" w:rsidRPr="00FA2F7B" w:rsidRDefault="006C565D" w:rsidP="007D0465">
            <w:pPr>
              <w:jc w:val="center"/>
              <w:rPr>
                <w:rFonts w:asciiTheme="minorHAnsi" w:hAnsiTheme="minorHAnsi"/>
              </w:rPr>
            </w:pPr>
            <w:r>
              <w:rPr>
                <w:rFonts w:asciiTheme="minorHAnsi" w:hAnsiTheme="minorHAnsi"/>
              </w:rPr>
              <w:t>5</w:t>
            </w:r>
          </w:p>
        </w:tc>
        <w:tc>
          <w:tcPr>
            <w:tcW w:w="8190" w:type="dxa"/>
          </w:tcPr>
          <w:p w:rsidR="006C565D" w:rsidRPr="00FA2F7B" w:rsidRDefault="006C565D" w:rsidP="007D0465">
            <w:pPr>
              <w:rPr>
                <w:rFonts w:asciiTheme="minorHAnsi" w:hAnsiTheme="minorHAnsi"/>
              </w:rPr>
            </w:pPr>
            <w:r w:rsidRPr="00FA2F7B">
              <w:rPr>
                <w:rFonts w:asciiTheme="minorHAnsi" w:hAnsiTheme="minorHAnsi"/>
              </w:rPr>
              <w:t xml:space="preserve">Access to </w:t>
            </w:r>
            <w:r>
              <w:rPr>
                <w:rFonts w:asciiTheme="minorHAnsi" w:hAnsiTheme="minorHAnsi"/>
              </w:rPr>
              <w:t>health care</w:t>
            </w:r>
          </w:p>
          <w:p w:rsidR="006C565D" w:rsidRDefault="006C565D" w:rsidP="006C565D">
            <w:pPr>
              <w:pStyle w:val="ListParagraph"/>
              <w:numPr>
                <w:ilvl w:val="0"/>
                <w:numId w:val="2"/>
              </w:numPr>
              <w:rPr>
                <w:rFonts w:asciiTheme="minorHAnsi" w:hAnsiTheme="minorHAnsi"/>
              </w:rPr>
            </w:pPr>
            <w:r w:rsidRPr="00FA2F7B">
              <w:rPr>
                <w:rFonts w:asciiTheme="minorHAnsi" w:hAnsiTheme="minorHAnsi"/>
              </w:rPr>
              <w:t>Discuss why health insu</w:t>
            </w:r>
            <w:r>
              <w:rPr>
                <w:rFonts w:asciiTheme="minorHAnsi" w:hAnsiTheme="minorHAnsi"/>
              </w:rPr>
              <w:t>rance makes a difference (slide</w:t>
            </w:r>
            <w:r w:rsidRPr="00FA2F7B">
              <w:rPr>
                <w:rFonts w:asciiTheme="minorHAnsi" w:hAnsiTheme="minorHAnsi"/>
              </w:rPr>
              <w:t xml:space="preserve"> #</w:t>
            </w:r>
            <w:r>
              <w:rPr>
                <w:rFonts w:asciiTheme="minorHAnsi" w:hAnsiTheme="minorHAnsi"/>
              </w:rPr>
              <w:t>15: survey data from the Kaiser Family Foundation, which found when surveying Americans about health care in the prior 12 months, many reported no usual source of care and said that they had postponed seeking care because of cost). Ask participants to offer reasons for these findings.</w:t>
            </w:r>
          </w:p>
          <w:p w:rsidR="006C565D" w:rsidRDefault="006C565D" w:rsidP="007D0465">
            <w:pPr>
              <w:pStyle w:val="ListParagraph"/>
              <w:ind w:left="360"/>
              <w:rPr>
                <w:rFonts w:asciiTheme="minorHAnsi" w:hAnsiTheme="minorHAnsi"/>
              </w:rPr>
            </w:pPr>
          </w:p>
          <w:p w:rsidR="006C565D" w:rsidRDefault="006C565D" w:rsidP="006C565D">
            <w:pPr>
              <w:pStyle w:val="ListParagraph"/>
              <w:numPr>
                <w:ilvl w:val="0"/>
                <w:numId w:val="2"/>
              </w:numPr>
              <w:rPr>
                <w:rFonts w:asciiTheme="minorHAnsi" w:hAnsiTheme="minorHAnsi"/>
              </w:rPr>
            </w:pPr>
            <w:r>
              <w:rPr>
                <w:rFonts w:asciiTheme="minorHAnsi" w:hAnsiTheme="minorHAnsi"/>
              </w:rPr>
              <w:t>Present the case of Mr. O (slide #16). Ask the group what they suspect the outcome was and why this happened.</w:t>
            </w:r>
          </w:p>
          <w:p w:rsidR="006C565D" w:rsidRPr="00232209" w:rsidRDefault="006C565D" w:rsidP="006C565D">
            <w:pPr>
              <w:pStyle w:val="ListParagraph"/>
              <w:numPr>
                <w:ilvl w:val="0"/>
                <w:numId w:val="2"/>
              </w:numPr>
              <w:rPr>
                <w:rFonts w:asciiTheme="minorHAnsi" w:hAnsiTheme="minorHAnsi"/>
              </w:rPr>
            </w:pPr>
            <w:r>
              <w:rPr>
                <w:rFonts w:asciiTheme="minorHAnsi" w:hAnsiTheme="minorHAnsi"/>
              </w:rPr>
              <w:t xml:space="preserve">Answer: </w:t>
            </w:r>
          </w:p>
          <w:p w:rsidR="006C565D" w:rsidRPr="00232209" w:rsidRDefault="006C565D" w:rsidP="006C565D">
            <w:pPr>
              <w:pStyle w:val="ListParagraph"/>
              <w:numPr>
                <w:ilvl w:val="1"/>
                <w:numId w:val="19"/>
              </w:numPr>
              <w:rPr>
                <w:rFonts w:asciiTheme="minorHAnsi" w:hAnsiTheme="minorHAnsi"/>
              </w:rPr>
            </w:pPr>
            <w:r w:rsidRPr="00232209">
              <w:rPr>
                <w:rFonts w:asciiTheme="minorHAnsi" w:hAnsiTheme="minorHAnsi"/>
              </w:rPr>
              <w:t>Cardiac cath revealed diffuse triple vessel disease most appropriate for CABG</w:t>
            </w:r>
            <w:r>
              <w:rPr>
                <w:rFonts w:asciiTheme="minorHAnsi" w:hAnsiTheme="minorHAnsi"/>
              </w:rPr>
              <w:t>.</w:t>
            </w:r>
          </w:p>
          <w:p w:rsidR="006C565D" w:rsidRPr="00232209" w:rsidRDefault="006C565D" w:rsidP="006C565D">
            <w:pPr>
              <w:pStyle w:val="ListParagraph"/>
              <w:numPr>
                <w:ilvl w:val="1"/>
                <w:numId w:val="19"/>
              </w:numPr>
              <w:rPr>
                <w:rFonts w:asciiTheme="minorHAnsi" w:hAnsiTheme="minorHAnsi"/>
              </w:rPr>
            </w:pPr>
            <w:r w:rsidRPr="00232209">
              <w:rPr>
                <w:rFonts w:asciiTheme="minorHAnsi" w:hAnsiTheme="minorHAnsi"/>
              </w:rPr>
              <w:t xml:space="preserve">CABG is not appropriate in the setting of acute stroke; therefore, the patient was managed medically with aspirin, </w:t>
            </w:r>
            <w:r>
              <w:rPr>
                <w:rFonts w:asciiTheme="minorHAnsi" w:hAnsiTheme="minorHAnsi"/>
              </w:rPr>
              <w:t>clopidogrel</w:t>
            </w:r>
            <w:r w:rsidRPr="00232209">
              <w:rPr>
                <w:rFonts w:asciiTheme="minorHAnsi" w:hAnsiTheme="minorHAnsi"/>
              </w:rPr>
              <w:t xml:space="preserve">, </w:t>
            </w:r>
            <w:r>
              <w:rPr>
                <w:rFonts w:asciiTheme="minorHAnsi" w:hAnsiTheme="minorHAnsi"/>
              </w:rPr>
              <w:t xml:space="preserve">a </w:t>
            </w:r>
            <w:r w:rsidRPr="00232209">
              <w:rPr>
                <w:rFonts w:asciiTheme="minorHAnsi" w:hAnsiTheme="minorHAnsi"/>
              </w:rPr>
              <w:t xml:space="preserve">beta blocker, </w:t>
            </w:r>
            <w:r>
              <w:rPr>
                <w:rFonts w:asciiTheme="minorHAnsi" w:hAnsiTheme="minorHAnsi"/>
              </w:rPr>
              <w:t xml:space="preserve">an </w:t>
            </w:r>
            <w:r w:rsidRPr="00232209">
              <w:rPr>
                <w:rFonts w:asciiTheme="minorHAnsi" w:hAnsiTheme="minorHAnsi"/>
              </w:rPr>
              <w:t>ACEi</w:t>
            </w:r>
            <w:r>
              <w:rPr>
                <w:rFonts w:asciiTheme="minorHAnsi" w:hAnsiTheme="minorHAnsi"/>
              </w:rPr>
              <w:t>,</w:t>
            </w:r>
            <w:r w:rsidRPr="00232209">
              <w:rPr>
                <w:rFonts w:asciiTheme="minorHAnsi" w:hAnsiTheme="minorHAnsi"/>
              </w:rPr>
              <w:t xml:space="preserve"> and </w:t>
            </w:r>
            <w:r>
              <w:rPr>
                <w:rFonts w:asciiTheme="minorHAnsi" w:hAnsiTheme="minorHAnsi"/>
              </w:rPr>
              <w:t xml:space="preserve">a </w:t>
            </w:r>
            <w:r w:rsidRPr="00232209">
              <w:rPr>
                <w:rFonts w:asciiTheme="minorHAnsi" w:hAnsiTheme="minorHAnsi"/>
              </w:rPr>
              <w:t>statin</w:t>
            </w:r>
            <w:r>
              <w:rPr>
                <w:rFonts w:asciiTheme="minorHAnsi" w:hAnsiTheme="minorHAnsi"/>
              </w:rPr>
              <w:t>,</w:t>
            </w:r>
            <w:r w:rsidRPr="00232209">
              <w:rPr>
                <w:rFonts w:asciiTheme="minorHAnsi" w:hAnsiTheme="minorHAnsi"/>
              </w:rPr>
              <w:t xml:space="preserve"> </w:t>
            </w:r>
            <w:r>
              <w:rPr>
                <w:rFonts w:asciiTheme="minorHAnsi" w:hAnsiTheme="minorHAnsi"/>
              </w:rPr>
              <w:t>besides being</w:t>
            </w:r>
            <w:r w:rsidRPr="00232209">
              <w:rPr>
                <w:rFonts w:asciiTheme="minorHAnsi" w:hAnsiTheme="minorHAnsi"/>
              </w:rPr>
              <w:t xml:space="preserve"> treat</w:t>
            </w:r>
            <w:r>
              <w:rPr>
                <w:rFonts w:asciiTheme="minorHAnsi" w:hAnsiTheme="minorHAnsi"/>
              </w:rPr>
              <w:t>ed</w:t>
            </w:r>
            <w:r w:rsidRPr="00232209">
              <w:rPr>
                <w:rFonts w:asciiTheme="minorHAnsi" w:hAnsiTheme="minorHAnsi"/>
              </w:rPr>
              <w:t xml:space="preserve"> for diabetes</w:t>
            </w:r>
            <w:r>
              <w:rPr>
                <w:rFonts w:asciiTheme="minorHAnsi" w:hAnsiTheme="minorHAnsi"/>
              </w:rPr>
              <w:t>.</w:t>
            </w:r>
          </w:p>
          <w:p w:rsidR="006C565D" w:rsidRPr="00232209" w:rsidRDefault="006C565D" w:rsidP="006C565D">
            <w:pPr>
              <w:pStyle w:val="ListParagraph"/>
              <w:numPr>
                <w:ilvl w:val="1"/>
                <w:numId w:val="19"/>
              </w:numPr>
              <w:rPr>
                <w:rFonts w:asciiTheme="minorHAnsi" w:hAnsiTheme="minorHAnsi"/>
              </w:rPr>
            </w:pPr>
            <w:r w:rsidRPr="00232209">
              <w:rPr>
                <w:rFonts w:asciiTheme="minorHAnsi" w:hAnsiTheme="minorHAnsi"/>
              </w:rPr>
              <w:t>P</w:t>
            </w:r>
            <w:r>
              <w:rPr>
                <w:rFonts w:asciiTheme="minorHAnsi" w:hAnsiTheme="minorHAnsi"/>
              </w:rPr>
              <w:t>atien</w:t>
            </w:r>
            <w:r w:rsidRPr="00232209">
              <w:rPr>
                <w:rFonts w:asciiTheme="minorHAnsi" w:hAnsiTheme="minorHAnsi"/>
              </w:rPr>
              <w:t>t was discharged with the intent to have CBG performed in the future to allow time for healing from the acute stroke</w:t>
            </w:r>
            <w:r>
              <w:rPr>
                <w:rFonts w:asciiTheme="minorHAnsi" w:hAnsiTheme="minorHAnsi"/>
              </w:rPr>
              <w:t>.</w:t>
            </w:r>
          </w:p>
          <w:p w:rsidR="006C565D" w:rsidRPr="00232209" w:rsidRDefault="006C565D" w:rsidP="006C565D">
            <w:pPr>
              <w:pStyle w:val="ListParagraph"/>
              <w:numPr>
                <w:ilvl w:val="1"/>
                <w:numId w:val="19"/>
              </w:numPr>
              <w:rPr>
                <w:rFonts w:asciiTheme="minorHAnsi" w:hAnsiTheme="minorHAnsi"/>
              </w:rPr>
            </w:pPr>
            <w:r w:rsidRPr="00232209">
              <w:rPr>
                <w:rFonts w:asciiTheme="minorHAnsi" w:hAnsiTheme="minorHAnsi"/>
              </w:rPr>
              <w:t xml:space="preserve">One year later, the patient has still not </w:t>
            </w:r>
            <w:r>
              <w:rPr>
                <w:rFonts w:asciiTheme="minorHAnsi" w:hAnsiTheme="minorHAnsi"/>
              </w:rPr>
              <w:t>undergone</w:t>
            </w:r>
            <w:r w:rsidRPr="00232209">
              <w:rPr>
                <w:rFonts w:asciiTheme="minorHAnsi" w:hAnsiTheme="minorHAnsi"/>
              </w:rPr>
              <w:t xml:space="preserve"> CABG</w:t>
            </w:r>
            <w:r>
              <w:rPr>
                <w:rFonts w:asciiTheme="minorHAnsi" w:hAnsiTheme="minorHAnsi"/>
              </w:rPr>
              <w:t>.</w:t>
            </w:r>
          </w:p>
          <w:p w:rsidR="006C565D" w:rsidRDefault="006C565D" w:rsidP="006C565D">
            <w:pPr>
              <w:pStyle w:val="ListParagraph"/>
              <w:numPr>
                <w:ilvl w:val="0"/>
                <w:numId w:val="2"/>
              </w:numPr>
              <w:rPr>
                <w:rFonts w:asciiTheme="minorHAnsi" w:hAnsiTheme="minorHAnsi"/>
              </w:rPr>
            </w:pPr>
            <w:r>
              <w:rPr>
                <w:rFonts w:asciiTheme="minorHAnsi" w:hAnsiTheme="minorHAnsi"/>
              </w:rPr>
              <w:t xml:space="preserve">Discuss the evidence behind the differences in care among insured and uninsured patients (slide #17). </w:t>
            </w:r>
            <w:r w:rsidRPr="00FA2F7B">
              <w:rPr>
                <w:rFonts w:asciiTheme="minorHAnsi" w:hAnsiTheme="minorHAnsi"/>
              </w:rPr>
              <w:t xml:space="preserve">Uninsured patients delay care or go without </w:t>
            </w:r>
            <w:r>
              <w:rPr>
                <w:rFonts w:asciiTheme="minorHAnsi" w:hAnsiTheme="minorHAnsi"/>
              </w:rPr>
              <w:t xml:space="preserve">care </w:t>
            </w:r>
            <w:r w:rsidRPr="00FA2F7B">
              <w:rPr>
                <w:rFonts w:asciiTheme="minorHAnsi" w:hAnsiTheme="minorHAnsi"/>
              </w:rPr>
              <w:t>altogether</w:t>
            </w:r>
            <w:r>
              <w:rPr>
                <w:rFonts w:asciiTheme="minorHAnsi" w:hAnsiTheme="minorHAnsi"/>
              </w:rPr>
              <w:t>,</w:t>
            </w:r>
            <w:r w:rsidRPr="00FA2F7B">
              <w:rPr>
                <w:rFonts w:asciiTheme="minorHAnsi" w:hAnsiTheme="minorHAnsi"/>
              </w:rPr>
              <w:t xml:space="preserve"> have fewer medical visits</w:t>
            </w:r>
            <w:r>
              <w:rPr>
                <w:rFonts w:asciiTheme="minorHAnsi" w:hAnsiTheme="minorHAnsi"/>
              </w:rPr>
              <w:t xml:space="preserve"> and less</w:t>
            </w:r>
            <w:r w:rsidRPr="00FA2F7B">
              <w:rPr>
                <w:rFonts w:asciiTheme="minorHAnsi" w:hAnsiTheme="minorHAnsi"/>
              </w:rPr>
              <w:t xml:space="preserve"> health screening (with higher rates of chronic illness and lower cancer survival rates)</w:t>
            </w:r>
            <w:r>
              <w:rPr>
                <w:rFonts w:asciiTheme="minorHAnsi" w:hAnsiTheme="minorHAnsi"/>
              </w:rPr>
              <w:t>,</w:t>
            </w:r>
            <w:r w:rsidRPr="00FA2F7B">
              <w:rPr>
                <w:rFonts w:asciiTheme="minorHAnsi" w:hAnsiTheme="minorHAnsi"/>
              </w:rPr>
              <w:t xml:space="preserve"> and </w:t>
            </w:r>
            <w:r>
              <w:rPr>
                <w:rFonts w:asciiTheme="minorHAnsi" w:hAnsiTheme="minorHAnsi"/>
              </w:rPr>
              <w:t xml:space="preserve">have </w:t>
            </w:r>
            <w:r w:rsidRPr="00FA2F7B">
              <w:rPr>
                <w:rFonts w:asciiTheme="minorHAnsi" w:hAnsiTheme="minorHAnsi"/>
              </w:rPr>
              <w:t>higher mortality (including during hospitalizations)</w:t>
            </w:r>
            <w:r>
              <w:rPr>
                <w:rFonts w:asciiTheme="minorHAnsi" w:hAnsiTheme="minorHAnsi"/>
              </w:rPr>
              <w:t>.</w:t>
            </w:r>
          </w:p>
          <w:p w:rsidR="006C565D" w:rsidRPr="00FA2F7B" w:rsidRDefault="006C565D" w:rsidP="007D0465">
            <w:pPr>
              <w:pStyle w:val="ListParagraph"/>
              <w:ind w:left="360"/>
              <w:rPr>
                <w:rFonts w:asciiTheme="minorHAnsi" w:hAnsiTheme="minorHAnsi"/>
              </w:rPr>
            </w:pPr>
          </w:p>
        </w:tc>
        <w:tc>
          <w:tcPr>
            <w:tcW w:w="1260" w:type="dxa"/>
          </w:tcPr>
          <w:p w:rsidR="006C565D" w:rsidRPr="00FA2F7B" w:rsidRDefault="006C565D" w:rsidP="007D0465">
            <w:pPr>
              <w:rPr>
                <w:rFonts w:asciiTheme="minorHAnsi" w:hAnsiTheme="minorHAnsi"/>
              </w:rPr>
            </w:pPr>
            <w:r w:rsidRPr="00FA2F7B">
              <w:rPr>
                <w:rFonts w:asciiTheme="minorHAnsi" w:hAnsiTheme="minorHAnsi"/>
              </w:rPr>
              <w:lastRenderedPageBreak/>
              <w:t>10 minutes</w:t>
            </w:r>
          </w:p>
        </w:tc>
      </w:tr>
      <w:tr w:rsidR="006C565D" w:rsidRPr="00FA2F7B" w:rsidTr="007D0465">
        <w:tc>
          <w:tcPr>
            <w:tcW w:w="720" w:type="dxa"/>
          </w:tcPr>
          <w:p w:rsidR="006C565D" w:rsidRPr="00FA2F7B" w:rsidRDefault="006C565D" w:rsidP="007D0465">
            <w:pPr>
              <w:jc w:val="center"/>
              <w:rPr>
                <w:rFonts w:asciiTheme="minorHAnsi" w:hAnsiTheme="minorHAnsi"/>
              </w:rPr>
            </w:pPr>
            <w:r>
              <w:rPr>
                <w:rFonts w:asciiTheme="minorHAnsi" w:hAnsiTheme="minorHAnsi"/>
              </w:rPr>
              <w:lastRenderedPageBreak/>
              <w:t>6</w:t>
            </w:r>
          </w:p>
        </w:tc>
        <w:tc>
          <w:tcPr>
            <w:tcW w:w="8190" w:type="dxa"/>
          </w:tcPr>
          <w:p w:rsidR="006C565D" w:rsidRPr="00FA2F7B" w:rsidRDefault="006C565D" w:rsidP="007D0465">
            <w:pPr>
              <w:rPr>
                <w:rFonts w:asciiTheme="minorHAnsi" w:hAnsiTheme="minorHAnsi"/>
              </w:rPr>
            </w:pPr>
            <w:r>
              <w:rPr>
                <w:rFonts w:asciiTheme="minorHAnsi" w:hAnsiTheme="minorHAnsi"/>
              </w:rPr>
              <w:t>Case #2 – Weekend Warrior</w:t>
            </w:r>
          </w:p>
          <w:p w:rsidR="006C565D" w:rsidRPr="00232209" w:rsidRDefault="006C565D" w:rsidP="006C565D">
            <w:pPr>
              <w:pStyle w:val="ListParagraph"/>
              <w:numPr>
                <w:ilvl w:val="0"/>
                <w:numId w:val="1"/>
              </w:numPr>
              <w:rPr>
                <w:rFonts w:asciiTheme="minorHAnsi" w:hAnsiTheme="minorHAnsi"/>
              </w:rPr>
            </w:pPr>
            <w:r>
              <w:rPr>
                <w:rFonts w:asciiTheme="minorHAnsi" w:hAnsiTheme="minorHAnsi"/>
              </w:rPr>
              <w:t xml:space="preserve">Present the case on slide #18. Have residents break into small groups </w:t>
            </w:r>
            <w:r w:rsidRPr="00232209">
              <w:rPr>
                <w:rFonts w:asciiTheme="minorHAnsi" w:hAnsiTheme="minorHAnsi"/>
              </w:rPr>
              <w:t>and provide estima</w:t>
            </w:r>
            <w:r>
              <w:rPr>
                <w:rFonts w:asciiTheme="minorHAnsi" w:hAnsiTheme="minorHAnsi"/>
              </w:rPr>
              <w:t>tes for</w:t>
            </w:r>
            <w:r w:rsidRPr="00232209">
              <w:rPr>
                <w:rFonts w:asciiTheme="minorHAnsi" w:hAnsiTheme="minorHAnsi"/>
              </w:rPr>
              <w:t xml:space="preserve"> charges </w:t>
            </w:r>
            <w:r>
              <w:rPr>
                <w:rFonts w:asciiTheme="minorHAnsi" w:hAnsiTheme="minorHAnsi"/>
              </w:rPr>
              <w:t>and out of pocket costs for the patient.</w:t>
            </w:r>
          </w:p>
          <w:p w:rsidR="006C565D" w:rsidRPr="00FA2F7B" w:rsidRDefault="006C565D" w:rsidP="006C565D">
            <w:pPr>
              <w:pStyle w:val="ListParagraph"/>
              <w:numPr>
                <w:ilvl w:val="0"/>
                <w:numId w:val="1"/>
              </w:numPr>
              <w:rPr>
                <w:rFonts w:asciiTheme="minorHAnsi" w:hAnsiTheme="minorHAnsi"/>
              </w:rPr>
            </w:pPr>
            <w:r>
              <w:rPr>
                <w:rFonts w:asciiTheme="minorHAnsi" w:hAnsiTheme="minorHAnsi"/>
              </w:rPr>
              <w:t>Provide a handout of slide #19 for each group to fill out.</w:t>
            </w:r>
          </w:p>
          <w:p w:rsidR="006C565D" w:rsidRPr="00FA2F7B" w:rsidRDefault="006C565D" w:rsidP="006C565D">
            <w:pPr>
              <w:pStyle w:val="ListParagraph"/>
              <w:numPr>
                <w:ilvl w:val="0"/>
                <w:numId w:val="1"/>
              </w:numPr>
              <w:rPr>
                <w:rFonts w:asciiTheme="minorHAnsi" w:hAnsiTheme="minorHAnsi"/>
              </w:rPr>
            </w:pPr>
            <w:r>
              <w:rPr>
                <w:rFonts w:asciiTheme="minorHAnsi" w:hAnsiTheme="minorHAnsi"/>
              </w:rPr>
              <w:t>Share the Dartmouth Calculator on slide #20 as a resource that they should use to estimate the amounts. After participants have had adequate time to use the calculator, share the amounts on slide #21.</w:t>
            </w:r>
          </w:p>
          <w:p w:rsidR="006C565D" w:rsidRPr="00FA2F7B" w:rsidRDefault="006C565D" w:rsidP="006C565D">
            <w:pPr>
              <w:pStyle w:val="ListParagraph"/>
              <w:numPr>
                <w:ilvl w:val="0"/>
                <w:numId w:val="1"/>
              </w:numPr>
              <w:rPr>
                <w:rFonts w:asciiTheme="minorHAnsi" w:hAnsiTheme="minorHAnsi"/>
              </w:rPr>
            </w:pPr>
            <w:r w:rsidRPr="00FA2F7B">
              <w:rPr>
                <w:rFonts w:asciiTheme="minorHAnsi" w:hAnsiTheme="minorHAnsi"/>
              </w:rPr>
              <w:t>Discuss the differences in what this “costs” the patient</w:t>
            </w:r>
            <w:r>
              <w:rPr>
                <w:rFonts w:asciiTheme="minorHAnsi" w:hAnsiTheme="minorHAnsi"/>
              </w:rPr>
              <w:t>:</w:t>
            </w:r>
            <w:r w:rsidRPr="00FA2F7B">
              <w:rPr>
                <w:rFonts w:asciiTheme="minorHAnsi" w:hAnsiTheme="minorHAnsi"/>
              </w:rPr>
              <w:t xml:space="preserve"> co</w:t>
            </w:r>
            <w:r>
              <w:rPr>
                <w:rFonts w:asciiTheme="minorHAnsi" w:hAnsiTheme="minorHAnsi"/>
              </w:rPr>
              <w:t>-</w:t>
            </w:r>
            <w:r w:rsidRPr="00FA2F7B">
              <w:rPr>
                <w:rFonts w:asciiTheme="minorHAnsi" w:hAnsiTheme="minorHAnsi"/>
              </w:rPr>
              <w:t xml:space="preserve">pay in HMO/PPO and the insurance covers the rest. In some high deductible plans, the patient is responsible for the full charge; in others they are given the same reimbursement rate the insurance company is given. The uninsured bill will list </w:t>
            </w:r>
            <w:r>
              <w:rPr>
                <w:rFonts w:asciiTheme="minorHAnsi" w:hAnsiTheme="minorHAnsi"/>
              </w:rPr>
              <w:t>the charges.</w:t>
            </w:r>
            <w:r w:rsidRPr="00FA2F7B">
              <w:rPr>
                <w:rFonts w:asciiTheme="minorHAnsi" w:hAnsiTheme="minorHAnsi"/>
              </w:rPr>
              <w:t xml:space="preserve"> </w:t>
            </w:r>
          </w:p>
          <w:p w:rsidR="006C565D" w:rsidRPr="00FA2F7B" w:rsidRDefault="006C565D" w:rsidP="006C565D">
            <w:pPr>
              <w:pStyle w:val="ListParagraph"/>
              <w:numPr>
                <w:ilvl w:val="0"/>
                <w:numId w:val="1"/>
              </w:numPr>
              <w:rPr>
                <w:rFonts w:asciiTheme="minorHAnsi" w:hAnsiTheme="minorHAnsi"/>
              </w:rPr>
            </w:pPr>
            <w:r w:rsidRPr="00FA2F7B">
              <w:rPr>
                <w:rFonts w:asciiTheme="minorHAnsi" w:hAnsiTheme="minorHAnsi"/>
              </w:rPr>
              <w:t>Ask the participants how the cost to the patient may affect adherence</w:t>
            </w:r>
            <w:r>
              <w:rPr>
                <w:rFonts w:asciiTheme="minorHAnsi" w:hAnsiTheme="minorHAnsi"/>
              </w:rPr>
              <w:t>.</w:t>
            </w:r>
            <w:r w:rsidRPr="00FA2F7B">
              <w:rPr>
                <w:rFonts w:asciiTheme="minorHAnsi" w:hAnsiTheme="minorHAnsi"/>
              </w:rPr>
              <w:t xml:space="preserve"> Patients who have a high deductible in their health insurance may not follow-up if they have not met their deductible</w:t>
            </w:r>
            <w:r>
              <w:rPr>
                <w:rFonts w:asciiTheme="minorHAnsi" w:hAnsiTheme="minorHAnsi"/>
              </w:rPr>
              <w:t>.</w:t>
            </w:r>
          </w:p>
          <w:p w:rsidR="006C565D" w:rsidRPr="00FA2F7B" w:rsidRDefault="006C565D" w:rsidP="006C565D">
            <w:pPr>
              <w:pStyle w:val="ListParagraph"/>
              <w:numPr>
                <w:ilvl w:val="0"/>
                <w:numId w:val="13"/>
              </w:numPr>
              <w:rPr>
                <w:rFonts w:asciiTheme="minorHAnsi" w:hAnsiTheme="minorHAnsi"/>
              </w:rPr>
            </w:pPr>
            <w:r w:rsidRPr="00FA2F7B">
              <w:rPr>
                <w:rFonts w:asciiTheme="minorHAnsi" w:hAnsiTheme="minorHAnsi"/>
              </w:rPr>
              <w:t>Within the context of the sports injury case, review the different types of reimbursement models (slide #</w:t>
            </w:r>
            <w:r>
              <w:rPr>
                <w:rFonts w:asciiTheme="minorHAnsi" w:hAnsiTheme="minorHAnsi"/>
              </w:rPr>
              <w:t>22</w:t>
            </w:r>
            <w:r w:rsidRPr="00FA2F7B">
              <w:rPr>
                <w:rFonts w:asciiTheme="minorHAnsi" w:hAnsiTheme="minorHAnsi"/>
              </w:rPr>
              <w:t>),</w:t>
            </w:r>
            <w:r>
              <w:rPr>
                <w:rFonts w:asciiTheme="minorHAnsi" w:hAnsiTheme="minorHAnsi"/>
              </w:rPr>
              <w:t xml:space="preserve"> </w:t>
            </w:r>
            <w:r w:rsidRPr="00FA2F7B">
              <w:rPr>
                <w:rFonts w:asciiTheme="minorHAnsi" w:hAnsiTheme="minorHAnsi"/>
              </w:rPr>
              <w:t>noting</w:t>
            </w:r>
            <w:r>
              <w:rPr>
                <w:rFonts w:asciiTheme="minorHAnsi" w:hAnsiTheme="minorHAnsi"/>
              </w:rPr>
              <w:t>,</w:t>
            </w:r>
            <w:r w:rsidRPr="00FA2F7B">
              <w:rPr>
                <w:rFonts w:asciiTheme="minorHAnsi" w:hAnsiTheme="minorHAnsi"/>
              </w:rPr>
              <w:t xml:space="preserve"> </w:t>
            </w:r>
            <w:r>
              <w:rPr>
                <w:rFonts w:asciiTheme="minorHAnsi" w:hAnsiTheme="minorHAnsi"/>
              </w:rPr>
              <w:t xml:space="preserve">however, </w:t>
            </w:r>
            <w:r w:rsidRPr="00FA2F7B">
              <w:rPr>
                <w:rFonts w:asciiTheme="minorHAnsi" w:hAnsiTheme="minorHAnsi"/>
              </w:rPr>
              <w:t>that many of these apply more to inpatient scenarios (per diem, DRG) and that most outpatient medicine is either capitation or fee-for-service</w:t>
            </w:r>
            <w:r>
              <w:rPr>
                <w:rFonts w:asciiTheme="minorHAnsi" w:hAnsiTheme="minorHAnsi"/>
              </w:rPr>
              <w:t xml:space="preserve"> (FFS).</w:t>
            </w:r>
          </w:p>
          <w:p w:rsidR="006C565D" w:rsidRPr="00FA2F7B" w:rsidRDefault="006C565D" w:rsidP="006C565D">
            <w:pPr>
              <w:pStyle w:val="ListParagraph"/>
              <w:numPr>
                <w:ilvl w:val="0"/>
                <w:numId w:val="1"/>
              </w:numPr>
              <w:rPr>
                <w:rFonts w:asciiTheme="minorHAnsi" w:hAnsiTheme="minorHAnsi"/>
              </w:rPr>
            </w:pPr>
            <w:r w:rsidRPr="00FA2F7B">
              <w:rPr>
                <w:rFonts w:asciiTheme="minorHAnsi" w:hAnsiTheme="minorHAnsi"/>
              </w:rPr>
              <w:t>Discuss whether different reimbursement models promote or discourage practicing high value, cost-conscious care (think about ordering tests)</w:t>
            </w:r>
            <w:r>
              <w:rPr>
                <w:rFonts w:asciiTheme="minorHAnsi" w:hAnsiTheme="minorHAnsi"/>
              </w:rPr>
              <w:t>.</w:t>
            </w:r>
          </w:p>
          <w:p w:rsidR="006C565D" w:rsidRPr="00FA2F7B" w:rsidRDefault="006C565D" w:rsidP="006C565D">
            <w:pPr>
              <w:pStyle w:val="ListParagraph"/>
              <w:numPr>
                <w:ilvl w:val="0"/>
                <w:numId w:val="1"/>
              </w:numPr>
              <w:rPr>
                <w:rFonts w:asciiTheme="minorHAnsi" w:hAnsiTheme="minorHAnsi"/>
              </w:rPr>
            </w:pPr>
            <w:r w:rsidRPr="00FA2F7B">
              <w:rPr>
                <w:rFonts w:asciiTheme="minorHAnsi" w:hAnsiTheme="minorHAnsi"/>
              </w:rPr>
              <w:t>Highlight the lack of disincentive for physicians and hospitals to simply do “more” care without regard to “better” care under FFS model</w:t>
            </w:r>
            <w:r>
              <w:rPr>
                <w:rFonts w:asciiTheme="minorHAnsi" w:hAnsiTheme="minorHAnsi"/>
              </w:rPr>
              <w:t>.</w:t>
            </w:r>
          </w:p>
          <w:p w:rsidR="006C565D" w:rsidRDefault="006C565D" w:rsidP="006C565D">
            <w:pPr>
              <w:pStyle w:val="ListParagraph"/>
              <w:numPr>
                <w:ilvl w:val="0"/>
                <w:numId w:val="1"/>
              </w:numPr>
              <w:rPr>
                <w:rFonts w:asciiTheme="minorHAnsi" w:hAnsiTheme="minorHAnsi"/>
              </w:rPr>
            </w:pPr>
            <w:r w:rsidRPr="00FA2F7B">
              <w:rPr>
                <w:rFonts w:asciiTheme="minorHAnsi" w:hAnsiTheme="minorHAnsi"/>
              </w:rPr>
              <w:t>Discuss the recent shift from predominantly FFS and DRG models to ACO</w:t>
            </w:r>
            <w:r>
              <w:rPr>
                <w:rFonts w:asciiTheme="minorHAnsi" w:hAnsiTheme="minorHAnsi"/>
              </w:rPr>
              <w:t xml:space="preserve"> (slides #23-24)</w:t>
            </w:r>
            <w:r w:rsidRPr="00FA2F7B">
              <w:rPr>
                <w:rFonts w:asciiTheme="minorHAnsi" w:hAnsiTheme="minorHAnsi"/>
              </w:rPr>
              <w:t>.</w:t>
            </w:r>
            <w:r>
              <w:rPr>
                <w:rFonts w:asciiTheme="minorHAnsi" w:hAnsiTheme="minorHAnsi"/>
              </w:rPr>
              <w:t xml:space="preserve"> </w:t>
            </w:r>
            <w:r w:rsidRPr="00FA2F7B">
              <w:rPr>
                <w:rFonts w:asciiTheme="minorHAnsi" w:hAnsiTheme="minorHAnsi"/>
              </w:rPr>
              <w:t>Does your organization participate in these types of partnerships with CMS or other large payers?</w:t>
            </w:r>
            <w:r>
              <w:rPr>
                <w:rFonts w:asciiTheme="minorHAnsi" w:hAnsiTheme="minorHAnsi"/>
              </w:rPr>
              <w:t xml:space="preserve"> </w:t>
            </w:r>
          </w:p>
          <w:p w:rsidR="006C565D" w:rsidRPr="00FA2F7B" w:rsidRDefault="006C565D" w:rsidP="007D0465">
            <w:pPr>
              <w:pStyle w:val="ListParagraph"/>
              <w:ind w:left="360"/>
              <w:rPr>
                <w:rFonts w:asciiTheme="minorHAnsi" w:hAnsiTheme="minorHAnsi"/>
              </w:rPr>
            </w:pPr>
          </w:p>
        </w:tc>
        <w:tc>
          <w:tcPr>
            <w:tcW w:w="1260" w:type="dxa"/>
          </w:tcPr>
          <w:p w:rsidR="006C565D" w:rsidRPr="00FA2F7B" w:rsidRDefault="006C565D" w:rsidP="007D0465">
            <w:pPr>
              <w:rPr>
                <w:rFonts w:asciiTheme="minorHAnsi" w:hAnsiTheme="minorHAnsi"/>
              </w:rPr>
            </w:pPr>
            <w:r>
              <w:rPr>
                <w:rFonts w:asciiTheme="minorHAnsi" w:hAnsiTheme="minorHAnsi"/>
              </w:rPr>
              <w:t>20</w:t>
            </w:r>
            <w:r w:rsidRPr="00FA2F7B">
              <w:rPr>
                <w:rFonts w:asciiTheme="minorHAnsi" w:hAnsiTheme="minorHAnsi"/>
              </w:rPr>
              <w:t xml:space="preserve"> minutes</w:t>
            </w:r>
          </w:p>
        </w:tc>
      </w:tr>
      <w:tr w:rsidR="006C565D" w:rsidRPr="00FA2F7B" w:rsidTr="007D0465">
        <w:tblPrEx>
          <w:tblLook w:val="0000" w:firstRow="0" w:lastRow="0" w:firstColumn="0" w:lastColumn="0" w:noHBand="0" w:noVBand="0"/>
        </w:tblPrEx>
        <w:trPr>
          <w:trHeight w:val="747"/>
        </w:trPr>
        <w:tc>
          <w:tcPr>
            <w:tcW w:w="720" w:type="dxa"/>
          </w:tcPr>
          <w:p w:rsidR="006C565D" w:rsidRPr="00FA2F7B" w:rsidRDefault="006C565D" w:rsidP="007D0465">
            <w:pPr>
              <w:jc w:val="center"/>
              <w:rPr>
                <w:rFonts w:asciiTheme="minorHAnsi" w:hAnsiTheme="minorHAnsi"/>
              </w:rPr>
            </w:pPr>
            <w:r>
              <w:rPr>
                <w:rFonts w:asciiTheme="minorHAnsi" w:hAnsiTheme="minorHAnsi"/>
              </w:rPr>
              <w:t>7</w:t>
            </w:r>
          </w:p>
        </w:tc>
        <w:tc>
          <w:tcPr>
            <w:tcW w:w="8190" w:type="dxa"/>
            <w:shd w:val="clear" w:color="auto" w:fill="auto"/>
          </w:tcPr>
          <w:p w:rsidR="006C565D" w:rsidRPr="00FA2F7B" w:rsidRDefault="006C565D" w:rsidP="007D0465">
            <w:pPr>
              <w:rPr>
                <w:rFonts w:asciiTheme="minorHAnsi" w:hAnsiTheme="minorHAnsi"/>
              </w:rPr>
            </w:pPr>
            <w:r w:rsidRPr="00FA2F7B">
              <w:rPr>
                <w:rFonts w:asciiTheme="minorHAnsi" w:hAnsiTheme="minorHAnsi"/>
              </w:rPr>
              <w:t>Summary</w:t>
            </w:r>
          </w:p>
          <w:p w:rsidR="006C565D" w:rsidRDefault="006C565D" w:rsidP="006C565D">
            <w:pPr>
              <w:pStyle w:val="ListParagraph"/>
              <w:numPr>
                <w:ilvl w:val="0"/>
                <w:numId w:val="18"/>
              </w:numPr>
              <w:rPr>
                <w:rFonts w:asciiTheme="minorHAnsi" w:hAnsiTheme="minorHAnsi"/>
              </w:rPr>
            </w:pPr>
            <w:r>
              <w:rPr>
                <w:rFonts w:asciiTheme="minorHAnsi" w:hAnsiTheme="minorHAnsi"/>
              </w:rPr>
              <w:t>Review the steps toward cost-conscious care on slide #25 and how the concepts presented today fit into this framework.</w:t>
            </w:r>
          </w:p>
          <w:p w:rsidR="006C565D" w:rsidRPr="00FA2F7B" w:rsidRDefault="006C565D" w:rsidP="006C565D">
            <w:pPr>
              <w:pStyle w:val="ListParagraph"/>
              <w:numPr>
                <w:ilvl w:val="0"/>
                <w:numId w:val="18"/>
              </w:numPr>
              <w:rPr>
                <w:rFonts w:asciiTheme="minorHAnsi" w:hAnsiTheme="minorHAnsi"/>
              </w:rPr>
            </w:pPr>
            <w:r w:rsidRPr="00FA2F7B">
              <w:rPr>
                <w:rFonts w:asciiTheme="minorHAnsi" w:hAnsiTheme="minorHAnsi"/>
              </w:rPr>
              <w:lastRenderedPageBreak/>
              <w:t>Highlight the major themes of this module, including how type of insurance and whether a patient is insured greatly impact out-of-pocket costs, which in turn affect</w:t>
            </w:r>
            <w:r>
              <w:rPr>
                <w:rFonts w:asciiTheme="minorHAnsi" w:hAnsiTheme="minorHAnsi"/>
              </w:rPr>
              <w:t>s</w:t>
            </w:r>
            <w:r w:rsidRPr="00FA2F7B">
              <w:rPr>
                <w:rFonts w:asciiTheme="minorHAnsi" w:hAnsiTheme="minorHAnsi"/>
              </w:rPr>
              <w:t xml:space="preserve"> ability to adhere to treatment recommendations</w:t>
            </w:r>
            <w:r>
              <w:rPr>
                <w:rFonts w:asciiTheme="minorHAnsi" w:hAnsiTheme="minorHAnsi"/>
              </w:rPr>
              <w:t>.</w:t>
            </w:r>
          </w:p>
          <w:p w:rsidR="006C565D" w:rsidRDefault="006C565D" w:rsidP="006C565D">
            <w:pPr>
              <w:pStyle w:val="ListParagraph"/>
              <w:numPr>
                <w:ilvl w:val="0"/>
                <w:numId w:val="18"/>
              </w:numPr>
              <w:rPr>
                <w:rFonts w:asciiTheme="minorHAnsi" w:hAnsiTheme="minorHAnsi"/>
              </w:rPr>
            </w:pPr>
            <w:r w:rsidRPr="00FA2F7B">
              <w:rPr>
                <w:rFonts w:asciiTheme="minorHAnsi" w:hAnsiTheme="minorHAnsi"/>
              </w:rPr>
              <w:t>Emphasize that physicians cannot put on blinders to these differences but instead must work with patients to individualize plans of care that maximize value and minimize the burden of unnecessary expenses</w:t>
            </w:r>
            <w:r>
              <w:rPr>
                <w:rFonts w:asciiTheme="minorHAnsi" w:hAnsiTheme="minorHAnsi"/>
              </w:rPr>
              <w:t>.</w:t>
            </w:r>
          </w:p>
          <w:p w:rsidR="006C565D" w:rsidRPr="007E4BE8" w:rsidRDefault="006C565D" w:rsidP="007D0465">
            <w:pPr>
              <w:rPr>
                <w:rFonts w:asciiTheme="minorHAnsi" w:hAnsiTheme="minorHAnsi"/>
              </w:rPr>
            </w:pPr>
          </w:p>
        </w:tc>
        <w:tc>
          <w:tcPr>
            <w:tcW w:w="1260" w:type="dxa"/>
            <w:shd w:val="clear" w:color="auto" w:fill="auto"/>
          </w:tcPr>
          <w:p w:rsidR="006C565D" w:rsidRPr="00FA2F7B" w:rsidRDefault="006C565D" w:rsidP="007D0465">
            <w:pPr>
              <w:rPr>
                <w:rFonts w:asciiTheme="minorHAnsi" w:hAnsiTheme="minorHAnsi"/>
              </w:rPr>
            </w:pPr>
            <w:r w:rsidRPr="00FA2F7B">
              <w:rPr>
                <w:rFonts w:asciiTheme="minorHAnsi" w:hAnsiTheme="minorHAnsi"/>
              </w:rPr>
              <w:lastRenderedPageBreak/>
              <w:t>5 minutes</w:t>
            </w:r>
          </w:p>
        </w:tc>
      </w:tr>
    </w:tbl>
    <w:p w:rsidR="003E062B" w:rsidRPr="006C565D" w:rsidRDefault="003E062B" w:rsidP="006C565D">
      <w:bookmarkStart w:id="1" w:name="_GoBack"/>
      <w:bookmarkEnd w:id="1"/>
    </w:p>
    <w:sectPr w:rsidR="003E062B" w:rsidRPr="006C565D" w:rsidSect="00223A35">
      <w:headerReference w:type="even" r:id="rId17"/>
      <w:headerReference w:type="default" r:id="rId18"/>
      <w:footerReference w:type="even" r:id="rId19"/>
      <w:footerReference w:type="default" r:id="rId20"/>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40" w:rsidRDefault="00E71540" w:rsidP="003D171D">
      <w:r>
        <w:separator/>
      </w:r>
    </w:p>
  </w:endnote>
  <w:endnote w:type="continuationSeparator" w:id="0">
    <w:p w:rsidR="00E71540" w:rsidRDefault="00E71540"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F23E49" w:rsidP="004A580B">
    <w:pPr>
      <w:pStyle w:val="Footer"/>
      <w:framePr w:wrap="around" w:vAnchor="text" w:hAnchor="margin" w:xAlign="center"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F23E49" w:rsidP="004A580B">
    <w:pPr>
      <w:pStyle w:val="Footer"/>
      <w:framePr w:wrap="around" w:vAnchor="text" w:hAnchor="page" w:x="5941" w:y="527"/>
      <w:rPr>
        <w:rStyle w:val="PageNumber"/>
      </w:rPr>
    </w:pPr>
    <w:r>
      <w:rPr>
        <w:rStyle w:val="PageNumber"/>
      </w:rPr>
      <w:fldChar w:fldCharType="begin"/>
    </w:r>
    <w:r w:rsidR="00745B33">
      <w:rPr>
        <w:rStyle w:val="PageNumber"/>
      </w:rPr>
      <w:instrText xml:space="preserve">PAGE  </w:instrText>
    </w:r>
    <w:r>
      <w:rPr>
        <w:rStyle w:val="PageNumber"/>
      </w:rPr>
      <w:fldChar w:fldCharType="separate"/>
    </w:r>
    <w:r w:rsidR="006C565D">
      <w:rPr>
        <w:rStyle w:val="PageNumber"/>
        <w:noProof/>
      </w:rPr>
      <w:t>2</w:t>
    </w:r>
    <w:r>
      <w:rPr>
        <w:rStyle w:val="PageNumber"/>
      </w:rPr>
      <w:fldChar w:fldCharType="end"/>
    </w:r>
  </w:p>
  <w:p w:rsidR="00745B33" w:rsidRDefault="006C565D" w:rsidP="005A09B6">
    <w:pPr>
      <w:pStyle w:val="Footer"/>
      <w:tabs>
        <w:tab w:val="clear" w:pos="4680"/>
        <w:tab w:val="clear" w:pos="9360"/>
        <w:tab w:val="center" w:pos="4320"/>
        <w:tab w:val="right" w:pos="9900"/>
      </w:tabs>
      <w:spacing w:before="240"/>
      <w:ind w:left="-90"/>
    </w:pPr>
    <w:r>
      <w:rPr>
        <w:noProof/>
      </w:rPr>
      <w:pict>
        <v:line id="Line 3" o:spid="_x0000_s4097" style="position:absolute;left:0;text-align:left;z-index:251658752;visibility:visibl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fill o:detectmouseclick="t"/>
          <v:shadow opacity="22938f" offset="0"/>
        </v:line>
      </w:pict>
    </w:r>
    <w:r w:rsidR="00DA0A8F">
      <w:rPr>
        <w:rFonts w:ascii="Trebuchet MS" w:hAnsi="Trebuchet MS"/>
        <w:noProof/>
      </w:rPr>
      <w:drawing>
        <wp:inline distT="0" distB="0" distL="0" distR="0">
          <wp:extent cx="2714625" cy="314325"/>
          <wp:effectExtent l="0" t="0" r="9525" b="9525"/>
          <wp:docPr id="3" name="Picture 3"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logo-hori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14325"/>
                  </a:xfrm>
                  <a:prstGeom prst="rect">
                    <a:avLst/>
                  </a:prstGeom>
                  <a:noFill/>
                  <a:ln>
                    <a:noFill/>
                  </a:ln>
                </pic:spPr>
              </pic:pic>
            </a:graphicData>
          </a:graphic>
        </wp:inline>
      </w:drawing>
    </w:r>
    <w:r w:rsidR="00745B33" w:rsidRPr="004F1393">
      <w:rPr>
        <w:rFonts w:ascii="Trebuchet MS" w:hAnsi="Trebuchet MS"/>
      </w:rPr>
      <w:tab/>
    </w:r>
    <w:r w:rsidR="00745B33">
      <w:rPr>
        <w:rFonts w:ascii="Trebuchet MS" w:hAnsi="Trebuchet MS"/>
      </w:rPr>
      <w:tab/>
    </w:r>
    <w:r w:rsidR="00DA0A8F">
      <w:rPr>
        <w:rFonts w:ascii="Trebuchet MS" w:hAnsi="Trebuchet MS"/>
        <w:noProof/>
      </w:rPr>
      <w:drawing>
        <wp:inline distT="0" distB="0" distL="0" distR="0">
          <wp:extent cx="1143000" cy="371475"/>
          <wp:effectExtent l="0" t="0" r="0" b="9525"/>
          <wp:docPr id="4"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40" w:rsidRDefault="00E71540" w:rsidP="003D171D">
      <w:r>
        <w:separator/>
      </w:r>
    </w:p>
  </w:footnote>
  <w:footnote w:type="continuationSeparator" w:id="0">
    <w:p w:rsidR="00E71540" w:rsidRDefault="00E71540"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F23E49" w:rsidP="00EA4732">
    <w:pPr>
      <w:pStyle w:val="Header"/>
      <w:framePr w:wrap="around" w:vAnchor="text" w:hAnchor="margin" w:xAlign="right"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Pr="00633683" w:rsidRDefault="006C565D" w:rsidP="006D7F6D">
    <w:pPr>
      <w:ind w:left="-360"/>
      <w:rPr>
        <w:b/>
        <w:bCs/>
        <w:sz w:val="40"/>
      </w:rPr>
    </w:pPr>
    <w:r>
      <w:rPr>
        <w:b/>
        <w:bCs/>
        <w:noProof/>
        <w:sz w:val="40"/>
      </w:rPr>
      <w:pict>
        <v:shapetype id="_x0000_t202" coordsize="21600,21600" o:spt="202" path="m,l,21600r21600,l21600,xe">
          <v:stroke joinstyle="miter"/>
          <v:path gradientshapeok="t" o:connecttype="rect"/>
        </v:shapetype>
        <v:shape id="Text Box 9" o:spid="_x0000_s4099" type="#_x0000_t202" style="position:absolute;left:0;text-align:left;margin-left:3in;margin-top:-9pt;width:315pt;height: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6C565D" w:rsidRPr="00FD60C3" w:rsidRDefault="006C565D" w:rsidP="006C565D">
                <w:pPr>
                  <w:rPr>
                    <w:b/>
                    <w:sz w:val="40"/>
                    <w:szCs w:val="40"/>
                  </w:rPr>
                </w:pPr>
                <w:r w:rsidRPr="00FD60C3">
                  <w:rPr>
                    <w:b/>
                    <w:sz w:val="40"/>
                    <w:szCs w:val="40"/>
                  </w:rPr>
                  <w:t>Health</w:t>
                </w:r>
                <w:r>
                  <w:rPr>
                    <w:b/>
                    <w:sz w:val="40"/>
                    <w:szCs w:val="40"/>
                  </w:rPr>
                  <w:t xml:space="preserve"> C</w:t>
                </w:r>
                <w:r w:rsidRPr="00FD60C3">
                  <w:rPr>
                    <w:b/>
                    <w:sz w:val="40"/>
                    <w:szCs w:val="40"/>
                  </w:rPr>
                  <w:t>are Costs and Payment Models</w:t>
                </w:r>
              </w:p>
              <w:p w:rsidR="00745B33" w:rsidRPr="002E0F7D" w:rsidRDefault="00745B33" w:rsidP="00C67ADB">
                <w:pPr>
                  <w:spacing w:line="400" w:lineRule="exact"/>
                  <w:rPr>
                    <w:sz w:val="36"/>
                    <w:szCs w:val="36"/>
                  </w:rPr>
                </w:pPr>
              </w:p>
            </w:txbxContent>
          </v:textbox>
        </v:shape>
      </w:pict>
    </w:r>
    <w:r w:rsidR="00DA0A8F">
      <w:rPr>
        <w:b/>
        <w:bCs/>
        <w:noProof/>
        <w:sz w:val="40"/>
      </w:rPr>
      <w:drawing>
        <wp:inline distT="0" distB="0" distL="0" distR="0">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rsidR="00745B33" w:rsidRPr="00633683" w:rsidRDefault="00745B33" w:rsidP="006D7F6D">
    <w:pPr>
      <w:pStyle w:val="Header"/>
      <w:tabs>
        <w:tab w:val="clear" w:pos="9360"/>
        <w:tab w:val="right" w:pos="9810"/>
      </w:tabs>
      <w:ind w:right="360"/>
      <w:jc w:val="right"/>
    </w:pPr>
  </w:p>
  <w:p w:rsidR="00745B33" w:rsidRPr="00633683" w:rsidRDefault="006C565D" w:rsidP="006D7F6D">
    <w:pPr>
      <w:pStyle w:val="Header"/>
      <w:tabs>
        <w:tab w:val="clear" w:pos="9360"/>
        <w:tab w:val="right" w:pos="9810"/>
      </w:tabs>
      <w:ind w:right="360"/>
      <w:jc w:val="right"/>
    </w:pPr>
    <w:r>
      <w:rPr>
        <w:noProof/>
      </w:rPr>
      <w:pict>
        <v:line id="Line 2" o:spid="_x0000_s4098" style="position:absolute;left:0;text-align:left;z-index:251657728;visibility:visibl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FD5134"/>
    <w:multiLevelType w:val="hybridMultilevel"/>
    <w:tmpl w:val="DBC6C972"/>
    <w:lvl w:ilvl="0" w:tplc="AD32054A">
      <w:start w:val="1"/>
      <w:numFmt w:val="bullet"/>
      <w:lvlText w:val="•"/>
      <w:lvlJc w:val="left"/>
      <w:pPr>
        <w:tabs>
          <w:tab w:val="num" w:pos="720"/>
        </w:tabs>
        <w:ind w:left="720" w:hanging="360"/>
      </w:pPr>
      <w:rPr>
        <w:rFonts w:ascii="Times New Roman" w:hAnsi="Times New Roman" w:hint="default"/>
      </w:rPr>
    </w:lvl>
    <w:lvl w:ilvl="1" w:tplc="3F00680C" w:tentative="1">
      <w:start w:val="1"/>
      <w:numFmt w:val="bullet"/>
      <w:lvlText w:val="•"/>
      <w:lvlJc w:val="left"/>
      <w:pPr>
        <w:tabs>
          <w:tab w:val="num" w:pos="1440"/>
        </w:tabs>
        <w:ind w:left="1440" w:hanging="360"/>
      </w:pPr>
      <w:rPr>
        <w:rFonts w:ascii="Times New Roman" w:hAnsi="Times New Roman" w:hint="default"/>
      </w:rPr>
    </w:lvl>
    <w:lvl w:ilvl="2" w:tplc="F32C6034" w:tentative="1">
      <w:start w:val="1"/>
      <w:numFmt w:val="bullet"/>
      <w:lvlText w:val="•"/>
      <w:lvlJc w:val="left"/>
      <w:pPr>
        <w:tabs>
          <w:tab w:val="num" w:pos="2160"/>
        </w:tabs>
        <w:ind w:left="2160" w:hanging="360"/>
      </w:pPr>
      <w:rPr>
        <w:rFonts w:ascii="Times New Roman" w:hAnsi="Times New Roman" w:hint="default"/>
      </w:rPr>
    </w:lvl>
    <w:lvl w:ilvl="3" w:tplc="24FE9E88" w:tentative="1">
      <w:start w:val="1"/>
      <w:numFmt w:val="bullet"/>
      <w:lvlText w:val="•"/>
      <w:lvlJc w:val="left"/>
      <w:pPr>
        <w:tabs>
          <w:tab w:val="num" w:pos="2880"/>
        </w:tabs>
        <w:ind w:left="2880" w:hanging="360"/>
      </w:pPr>
      <w:rPr>
        <w:rFonts w:ascii="Times New Roman" w:hAnsi="Times New Roman" w:hint="default"/>
      </w:rPr>
    </w:lvl>
    <w:lvl w:ilvl="4" w:tplc="384C44BA" w:tentative="1">
      <w:start w:val="1"/>
      <w:numFmt w:val="bullet"/>
      <w:lvlText w:val="•"/>
      <w:lvlJc w:val="left"/>
      <w:pPr>
        <w:tabs>
          <w:tab w:val="num" w:pos="3600"/>
        </w:tabs>
        <w:ind w:left="3600" w:hanging="360"/>
      </w:pPr>
      <w:rPr>
        <w:rFonts w:ascii="Times New Roman" w:hAnsi="Times New Roman" w:hint="default"/>
      </w:rPr>
    </w:lvl>
    <w:lvl w:ilvl="5" w:tplc="20688788" w:tentative="1">
      <w:start w:val="1"/>
      <w:numFmt w:val="bullet"/>
      <w:lvlText w:val="•"/>
      <w:lvlJc w:val="left"/>
      <w:pPr>
        <w:tabs>
          <w:tab w:val="num" w:pos="4320"/>
        </w:tabs>
        <w:ind w:left="4320" w:hanging="360"/>
      </w:pPr>
      <w:rPr>
        <w:rFonts w:ascii="Times New Roman" w:hAnsi="Times New Roman" w:hint="default"/>
      </w:rPr>
    </w:lvl>
    <w:lvl w:ilvl="6" w:tplc="01B4903E" w:tentative="1">
      <w:start w:val="1"/>
      <w:numFmt w:val="bullet"/>
      <w:lvlText w:val="•"/>
      <w:lvlJc w:val="left"/>
      <w:pPr>
        <w:tabs>
          <w:tab w:val="num" w:pos="5040"/>
        </w:tabs>
        <w:ind w:left="5040" w:hanging="360"/>
      </w:pPr>
      <w:rPr>
        <w:rFonts w:ascii="Times New Roman" w:hAnsi="Times New Roman" w:hint="default"/>
      </w:rPr>
    </w:lvl>
    <w:lvl w:ilvl="7" w:tplc="327AD34A" w:tentative="1">
      <w:start w:val="1"/>
      <w:numFmt w:val="bullet"/>
      <w:lvlText w:val="•"/>
      <w:lvlJc w:val="left"/>
      <w:pPr>
        <w:tabs>
          <w:tab w:val="num" w:pos="5760"/>
        </w:tabs>
        <w:ind w:left="5760" w:hanging="360"/>
      </w:pPr>
      <w:rPr>
        <w:rFonts w:ascii="Times New Roman" w:hAnsi="Times New Roman" w:hint="default"/>
      </w:rPr>
    </w:lvl>
    <w:lvl w:ilvl="8" w:tplc="5BB23D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36AB7"/>
    <w:multiLevelType w:val="hybridMultilevel"/>
    <w:tmpl w:val="5C8E34A6"/>
    <w:lvl w:ilvl="0" w:tplc="297AA6D8">
      <w:start w:val="1"/>
      <w:numFmt w:val="decimal"/>
      <w:lvlText w:val="%1."/>
      <w:lvlJc w:val="left"/>
      <w:pPr>
        <w:tabs>
          <w:tab w:val="num" w:pos="720"/>
        </w:tabs>
        <w:ind w:left="720" w:hanging="360"/>
      </w:pPr>
    </w:lvl>
    <w:lvl w:ilvl="1" w:tplc="23BA0AA0" w:tentative="1">
      <w:start w:val="1"/>
      <w:numFmt w:val="decimal"/>
      <w:lvlText w:val="%2."/>
      <w:lvlJc w:val="left"/>
      <w:pPr>
        <w:tabs>
          <w:tab w:val="num" w:pos="1440"/>
        </w:tabs>
        <w:ind w:left="1440" w:hanging="360"/>
      </w:pPr>
    </w:lvl>
    <w:lvl w:ilvl="2" w:tplc="D58A9D1A" w:tentative="1">
      <w:start w:val="1"/>
      <w:numFmt w:val="decimal"/>
      <w:lvlText w:val="%3."/>
      <w:lvlJc w:val="left"/>
      <w:pPr>
        <w:tabs>
          <w:tab w:val="num" w:pos="2160"/>
        </w:tabs>
        <w:ind w:left="2160" w:hanging="360"/>
      </w:pPr>
    </w:lvl>
    <w:lvl w:ilvl="3" w:tplc="7FC641C2" w:tentative="1">
      <w:start w:val="1"/>
      <w:numFmt w:val="decimal"/>
      <w:lvlText w:val="%4."/>
      <w:lvlJc w:val="left"/>
      <w:pPr>
        <w:tabs>
          <w:tab w:val="num" w:pos="2880"/>
        </w:tabs>
        <w:ind w:left="2880" w:hanging="360"/>
      </w:pPr>
    </w:lvl>
    <w:lvl w:ilvl="4" w:tplc="22E889D2" w:tentative="1">
      <w:start w:val="1"/>
      <w:numFmt w:val="decimal"/>
      <w:lvlText w:val="%5."/>
      <w:lvlJc w:val="left"/>
      <w:pPr>
        <w:tabs>
          <w:tab w:val="num" w:pos="3600"/>
        </w:tabs>
        <w:ind w:left="3600" w:hanging="360"/>
      </w:pPr>
    </w:lvl>
    <w:lvl w:ilvl="5" w:tplc="C7941186" w:tentative="1">
      <w:start w:val="1"/>
      <w:numFmt w:val="decimal"/>
      <w:lvlText w:val="%6."/>
      <w:lvlJc w:val="left"/>
      <w:pPr>
        <w:tabs>
          <w:tab w:val="num" w:pos="4320"/>
        </w:tabs>
        <w:ind w:left="4320" w:hanging="360"/>
      </w:pPr>
    </w:lvl>
    <w:lvl w:ilvl="6" w:tplc="A35A2DFC" w:tentative="1">
      <w:start w:val="1"/>
      <w:numFmt w:val="decimal"/>
      <w:lvlText w:val="%7."/>
      <w:lvlJc w:val="left"/>
      <w:pPr>
        <w:tabs>
          <w:tab w:val="num" w:pos="5040"/>
        </w:tabs>
        <w:ind w:left="5040" w:hanging="360"/>
      </w:pPr>
    </w:lvl>
    <w:lvl w:ilvl="7" w:tplc="75665DAA" w:tentative="1">
      <w:start w:val="1"/>
      <w:numFmt w:val="decimal"/>
      <w:lvlText w:val="%8."/>
      <w:lvlJc w:val="left"/>
      <w:pPr>
        <w:tabs>
          <w:tab w:val="num" w:pos="5760"/>
        </w:tabs>
        <w:ind w:left="5760" w:hanging="360"/>
      </w:pPr>
    </w:lvl>
    <w:lvl w:ilvl="8" w:tplc="DB36567E" w:tentative="1">
      <w:start w:val="1"/>
      <w:numFmt w:val="decimal"/>
      <w:lvlText w:val="%9."/>
      <w:lvlJc w:val="left"/>
      <w:pPr>
        <w:tabs>
          <w:tab w:val="num" w:pos="6480"/>
        </w:tabs>
        <w:ind w:left="6480" w:hanging="360"/>
      </w:pPr>
    </w:lvl>
  </w:abstractNum>
  <w:abstractNum w:abstractNumId="8">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F064D6"/>
    <w:multiLevelType w:val="hybridMultilevel"/>
    <w:tmpl w:val="896C7C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BC0504"/>
    <w:multiLevelType w:val="hybridMultilevel"/>
    <w:tmpl w:val="4B660C6E"/>
    <w:lvl w:ilvl="0" w:tplc="26E459AC">
      <w:start w:val="1"/>
      <w:numFmt w:val="bullet"/>
      <w:lvlText w:val="•"/>
      <w:lvlJc w:val="left"/>
      <w:pPr>
        <w:tabs>
          <w:tab w:val="num" w:pos="720"/>
        </w:tabs>
        <w:ind w:left="720" w:hanging="360"/>
      </w:pPr>
      <w:rPr>
        <w:rFonts w:ascii="Arial" w:hAnsi="Arial" w:hint="default"/>
      </w:rPr>
    </w:lvl>
    <w:lvl w:ilvl="1" w:tplc="B6520B50" w:tentative="1">
      <w:start w:val="1"/>
      <w:numFmt w:val="bullet"/>
      <w:lvlText w:val="•"/>
      <w:lvlJc w:val="left"/>
      <w:pPr>
        <w:tabs>
          <w:tab w:val="num" w:pos="1440"/>
        </w:tabs>
        <w:ind w:left="1440" w:hanging="360"/>
      </w:pPr>
      <w:rPr>
        <w:rFonts w:ascii="Arial" w:hAnsi="Arial" w:hint="default"/>
      </w:rPr>
    </w:lvl>
    <w:lvl w:ilvl="2" w:tplc="6EFAD8F4" w:tentative="1">
      <w:start w:val="1"/>
      <w:numFmt w:val="bullet"/>
      <w:lvlText w:val="•"/>
      <w:lvlJc w:val="left"/>
      <w:pPr>
        <w:tabs>
          <w:tab w:val="num" w:pos="2160"/>
        </w:tabs>
        <w:ind w:left="2160" w:hanging="360"/>
      </w:pPr>
      <w:rPr>
        <w:rFonts w:ascii="Arial" w:hAnsi="Arial" w:hint="default"/>
      </w:rPr>
    </w:lvl>
    <w:lvl w:ilvl="3" w:tplc="BB623A60" w:tentative="1">
      <w:start w:val="1"/>
      <w:numFmt w:val="bullet"/>
      <w:lvlText w:val="•"/>
      <w:lvlJc w:val="left"/>
      <w:pPr>
        <w:tabs>
          <w:tab w:val="num" w:pos="2880"/>
        </w:tabs>
        <w:ind w:left="2880" w:hanging="360"/>
      </w:pPr>
      <w:rPr>
        <w:rFonts w:ascii="Arial" w:hAnsi="Arial" w:hint="default"/>
      </w:rPr>
    </w:lvl>
    <w:lvl w:ilvl="4" w:tplc="F1A849E0" w:tentative="1">
      <w:start w:val="1"/>
      <w:numFmt w:val="bullet"/>
      <w:lvlText w:val="•"/>
      <w:lvlJc w:val="left"/>
      <w:pPr>
        <w:tabs>
          <w:tab w:val="num" w:pos="3600"/>
        </w:tabs>
        <w:ind w:left="3600" w:hanging="360"/>
      </w:pPr>
      <w:rPr>
        <w:rFonts w:ascii="Arial" w:hAnsi="Arial" w:hint="default"/>
      </w:rPr>
    </w:lvl>
    <w:lvl w:ilvl="5" w:tplc="6A5A5600" w:tentative="1">
      <w:start w:val="1"/>
      <w:numFmt w:val="bullet"/>
      <w:lvlText w:val="•"/>
      <w:lvlJc w:val="left"/>
      <w:pPr>
        <w:tabs>
          <w:tab w:val="num" w:pos="4320"/>
        </w:tabs>
        <w:ind w:left="4320" w:hanging="360"/>
      </w:pPr>
      <w:rPr>
        <w:rFonts w:ascii="Arial" w:hAnsi="Arial" w:hint="default"/>
      </w:rPr>
    </w:lvl>
    <w:lvl w:ilvl="6" w:tplc="CD12C204" w:tentative="1">
      <w:start w:val="1"/>
      <w:numFmt w:val="bullet"/>
      <w:lvlText w:val="•"/>
      <w:lvlJc w:val="left"/>
      <w:pPr>
        <w:tabs>
          <w:tab w:val="num" w:pos="5040"/>
        </w:tabs>
        <w:ind w:left="5040" w:hanging="360"/>
      </w:pPr>
      <w:rPr>
        <w:rFonts w:ascii="Arial" w:hAnsi="Arial" w:hint="default"/>
      </w:rPr>
    </w:lvl>
    <w:lvl w:ilvl="7" w:tplc="9AE2420C" w:tentative="1">
      <w:start w:val="1"/>
      <w:numFmt w:val="bullet"/>
      <w:lvlText w:val="•"/>
      <w:lvlJc w:val="left"/>
      <w:pPr>
        <w:tabs>
          <w:tab w:val="num" w:pos="5760"/>
        </w:tabs>
        <w:ind w:left="5760" w:hanging="360"/>
      </w:pPr>
      <w:rPr>
        <w:rFonts w:ascii="Arial" w:hAnsi="Arial" w:hint="default"/>
      </w:rPr>
    </w:lvl>
    <w:lvl w:ilvl="8" w:tplc="2EBC63CA" w:tentative="1">
      <w:start w:val="1"/>
      <w:numFmt w:val="bullet"/>
      <w:lvlText w:val="•"/>
      <w:lvlJc w:val="left"/>
      <w:pPr>
        <w:tabs>
          <w:tab w:val="num" w:pos="6480"/>
        </w:tabs>
        <w:ind w:left="6480" w:hanging="360"/>
      </w:pPr>
      <w:rPr>
        <w:rFonts w:ascii="Arial" w:hAnsi="Arial" w:hint="default"/>
      </w:rPr>
    </w:lvl>
  </w:abstractNum>
  <w:abstractNum w:abstractNumId="11">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2">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386F42"/>
    <w:multiLevelType w:val="hybridMultilevel"/>
    <w:tmpl w:val="EFF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B940F1"/>
    <w:multiLevelType w:val="hybridMultilevel"/>
    <w:tmpl w:val="53A2CE0C"/>
    <w:lvl w:ilvl="0" w:tplc="401847E0">
      <w:start w:val="1"/>
      <w:numFmt w:val="decimal"/>
      <w:lvlText w:val="%1."/>
      <w:lvlJc w:val="left"/>
      <w:pPr>
        <w:tabs>
          <w:tab w:val="num" w:pos="720"/>
        </w:tabs>
        <w:ind w:left="720" w:hanging="360"/>
      </w:pPr>
    </w:lvl>
    <w:lvl w:ilvl="1" w:tplc="F27AD2A0" w:tentative="1">
      <w:start w:val="1"/>
      <w:numFmt w:val="decimal"/>
      <w:lvlText w:val="%2."/>
      <w:lvlJc w:val="left"/>
      <w:pPr>
        <w:tabs>
          <w:tab w:val="num" w:pos="1440"/>
        </w:tabs>
        <w:ind w:left="1440" w:hanging="360"/>
      </w:pPr>
    </w:lvl>
    <w:lvl w:ilvl="2" w:tplc="D5C442E2" w:tentative="1">
      <w:start w:val="1"/>
      <w:numFmt w:val="decimal"/>
      <w:lvlText w:val="%3."/>
      <w:lvlJc w:val="left"/>
      <w:pPr>
        <w:tabs>
          <w:tab w:val="num" w:pos="2160"/>
        </w:tabs>
        <w:ind w:left="2160" w:hanging="360"/>
      </w:pPr>
    </w:lvl>
    <w:lvl w:ilvl="3" w:tplc="66A8ADE2" w:tentative="1">
      <w:start w:val="1"/>
      <w:numFmt w:val="decimal"/>
      <w:lvlText w:val="%4."/>
      <w:lvlJc w:val="left"/>
      <w:pPr>
        <w:tabs>
          <w:tab w:val="num" w:pos="2880"/>
        </w:tabs>
        <w:ind w:left="2880" w:hanging="360"/>
      </w:pPr>
    </w:lvl>
    <w:lvl w:ilvl="4" w:tplc="3C027ED0" w:tentative="1">
      <w:start w:val="1"/>
      <w:numFmt w:val="decimal"/>
      <w:lvlText w:val="%5."/>
      <w:lvlJc w:val="left"/>
      <w:pPr>
        <w:tabs>
          <w:tab w:val="num" w:pos="3600"/>
        </w:tabs>
        <w:ind w:left="3600" w:hanging="360"/>
      </w:pPr>
    </w:lvl>
    <w:lvl w:ilvl="5" w:tplc="5AF4DA3A" w:tentative="1">
      <w:start w:val="1"/>
      <w:numFmt w:val="decimal"/>
      <w:lvlText w:val="%6."/>
      <w:lvlJc w:val="left"/>
      <w:pPr>
        <w:tabs>
          <w:tab w:val="num" w:pos="4320"/>
        </w:tabs>
        <w:ind w:left="4320" w:hanging="360"/>
      </w:pPr>
    </w:lvl>
    <w:lvl w:ilvl="6" w:tplc="79E01052" w:tentative="1">
      <w:start w:val="1"/>
      <w:numFmt w:val="decimal"/>
      <w:lvlText w:val="%7."/>
      <w:lvlJc w:val="left"/>
      <w:pPr>
        <w:tabs>
          <w:tab w:val="num" w:pos="5040"/>
        </w:tabs>
        <w:ind w:left="5040" w:hanging="360"/>
      </w:pPr>
    </w:lvl>
    <w:lvl w:ilvl="7" w:tplc="58182A48" w:tentative="1">
      <w:start w:val="1"/>
      <w:numFmt w:val="decimal"/>
      <w:lvlText w:val="%8."/>
      <w:lvlJc w:val="left"/>
      <w:pPr>
        <w:tabs>
          <w:tab w:val="num" w:pos="5760"/>
        </w:tabs>
        <w:ind w:left="5760" w:hanging="360"/>
      </w:pPr>
    </w:lvl>
    <w:lvl w:ilvl="8" w:tplc="8B8AC856" w:tentative="1">
      <w:start w:val="1"/>
      <w:numFmt w:val="decimal"/>
      <w:lvlText w:val="%9."/>
      <w:lvlJc w:val="left"/>
      <w:pPr>
        <w:tabs>
          <w:tab w:val="num" w:pos="6480"/>
        </w:tabs>
        <w:ind w:left="6480" w:hanging="360"/>
      </w:pPr>
    </w:lvl>
  </w:abstractNum>
  <w:abstractNum w:abstractNumId="18">
    <w:nsid w:val="69E5333C"/>
    <w:multiLevelType w:val="hybridMultilevel"/>
    <w:tmpl w:val="48F2F3C2"/>
    <w:lvl w:ilvl="0" w:tplc="F19A5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3"/>
  </w:num>
  <w:num w:numId="4">
    <w:abstractNumId w:val="13"/>
  </w:num>
  <w:num w:numId="5">
    <w:abstractNumId w:val="6"/>
  </w:num>
  <w:num w:numId="6">
    <w:abstractNumId w:val="11"/>
  </w:num>
  <w:num w:numId="7">
    <w:abstractNumId w:val="0"/>
  </w:num>
  <w:num w:numId="8">
    <w:abstractNumId w:val="19"/>
  </w:num>
  <w:num w:numId="9">
    <w:abstractNumId w:val="2"/>
  </w:num>
  <w:num w:numId="10">
    <w:abstractNumId w:val="1"/>
  </w:num>
  <w:num w:numId="11">
    <w:abstractNumId w:val="18"/>
  </w:num>
  <w:num w:numId="12">
    <w:abstractNumId w:val="8"/>
  </w:num>
  <w:num w:numId="13">
    <w:abstractNumId w:val="5"/>
  </w:num>
  <w:num w:numId="14">
    <w:abstractNumId w:val="14"/>
  </w:num>
  <w:num w:numId="15">
    <w:abstractNumId w:val="10"/>
  </w:num>
  <w:num w:numId="16">
    <w:abstractNumId w:val="7"/>
  </w:num>
  <w:num w:numId="17">
    <w:abstractNumId w:val="4"/>
  </w:num>
  <w:num w:numId="18">
    <w:abstractNumId w:val="16"/>
  </w:num>
  <w:num w:numId="19">
    <w:abstractNumId w:val="9"/>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D171D"/>
    <w:rsid w:val="000014EB"/>
    <w:rsid w:val="00022A14"/>
    <w:rsid w:val="0002702A"/>
    <w:rsid w:val="0003625E"/>
    <w:rsid w:val="000554C5"/>
    <w:rsid w:val="00056DF8"/>
    <w:rsid w:val="000809B5"/>
    <w:rsid w:val="000A0324"/>
    <w:rsid w:val="000B3572"/>
    <w:rsid w:val="000B6B2B"/>
    <w:rsid w:val="000C066A"/>
    <w:rsid w:val="000D3670"/>
    <w:rsid w:val="000D6EB8"/>
    <w:rsid w:val="000E63F1"/>
    <w:rsid w:val="00102E50"/>
    <w:rsid w:val="00110945"/>
    <w:rsid w:val="00113F48"/>
    <w:rsid w:val="001305AD"/>
    <w:rsid w:val="00143F65"/>
    <w:rsid w:val="00182356"/>
    <w:rsid w:val="00182BE8"/>
    <w:rsid w:val="001940CB"/>
    <w:rsid w:val="00197975"/>
    <w:rsid w:val="001A06D4"/>
    <w:rsid w:val="001A1139"/>
    <w:rsid w:val="001A6C5E"/>
    <w:rsid w:val="001A7409"/>
    <w:rsid w:val="001D6DDD"/>
    <w:rsid w:val="001E6B75"/>
    <w:rsid w:val="001E6E90"/>
    <w:rsid w:val="001F794F"/>
    <w:rsid w:val="00203043"/>
    <w:rsid w:val="00223A35"/>
    <w:rsid w:val="00240DEE"/>
    <w:rsid w:val="0025030D"/>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53262"/>
    <w:rsid w:val="0035518F"/>
    <w:rsid w:val="00380E68"/>
    <w:rsid w:val="003874E2"/>
    <w:rsid w:val="003A783B"/>
    <w:rsid w:val="003D171D"/>
    <w:rsid w:val="003D4A37"/>
    <w:rsid w:val="003E062B"/>
    <w:rsid w:val="003E6163"/>
    <w:rsid w:val="003F2A0E"/>
    <w:rsid w:val="00400E1E"/>
    <w:rsid w:val="004036C9"/>
    <w:rsid w:val="0041722A"/>
    <w:rsid w:val="004303E1"/>
    <w:rsid w:val="00441298"/>
    <w:rsid w:val="00445E69"/>
    <w:rsid w:val="004530C9"/>
    <w:rsid w:val="00453258"/>
    <w:rsid w:val="00463CED"/>
    <w:rsid w:val="00467DFA"/>
    <w:rsid w:val="004A580B"/>
    <w:rsid w:val="004B6D4D"/>
    <w:rsid w:val="004C2EAE"/>
    <w:rsid w:val="004E047C"/>
    <w:rsid w:val="004E112F"/>
    <w:rsid w:val="004E5FD8"/>
    <w:rsid w:val="004F1393"/>
    <w:rsid w:val="00501452"/>
    <w:rsid w:val="00512EF6"/>
    <w:rsid w:val="00536F8E"/>
    <w:rsid w:val="00540372"/>
    <w:rsid w:val="00543C4B"/>
    <w:rsid w:val="00544417"/>
    <w:rsid w:val="0054783D"/>
    <w:rsid w:val="005A09B6"/>
    <w:rsid w:val="005C2A6F"/>
    <w:rsid w:val="005C65F6"/>
    <w:rsid w:val="005F208F"/>
    <w:rsid w:val="005F43DB"/>
    <w:rsid w:val="00633683"/>
    <w:rsid w:val="00664EEE"/>
    <w:rsid w:val="00677790"/>
    <w:rsid w:val="006A5DA0"/>
    <w:rsid w:val="006B047F"/>
    <w:rsid w:val="006B5236"/>
    <w:rsid w:val="006C565D"/>
    <w:rsid w:val="006D06BF"/>
    <w:rsid w:val="006D3E66"/>
    <w:rsid w:val="006D7F6D"/>
    <w:rsid w:val="006F20BE"/>
    <w:rsid w:val="006F76BE"/>
    <w:rsid w:val="007430EF"/>
    <w:rsid w:val="00745B33"/>
    <w:rsid w:val="007463A8"/>
    <w:rsid w:val="00747F20"/>
    <w:rsid w:val="00750990"/>
    <w:rsid w:val="0075136D"/>
    <w:rsid w:val="007915B7"/>
    <w:rsid w:val="007A35C2"/>
    <w:rsid w:val="007A7BB6"/>
    <w:rsid w:val="007D21E0"/>
    <w:rsid w:val="007D6EEA"/>
    <w:rsid w:val="007E5CF1"/>
    <w:rsid w:val="007F4220"/>
    <w:rsid w:val="008309FD"/>
    <w:rsid w:val="008320C5"/>
    <w:rsid w:val="00835457"/>
    <w:rsid w:val="00842E87"/>
    <w:rsid w:val="00846801"/>
    <w:rsid w:val="00851332"/>
    <w:rsid w:val="0085463D"/>
    <w:rsid w:val="008761D7"/>
    <w:rsid w:val="00880AE6"/>
    <w:rsid w:val="008856CF"/>
    <w:rsid w:val="008A07F8"/>
    <w:rsid w:val="008B2B32"/>
    <w:rsid w:val="008C7124"/>
    <w:rsid w:val="008D3E05"/>
    <w:rsid w:val="008F3AD5"/>
    <w:rsid w:val="00946EDF"/>
    <w:rsid w:val="00953E2C"/>
    <w:rsid w:val="00963E92"/>
    <w:rsid w:val="00972A15"/>
    <w:rsid w:val="0098185A"/>
    <w:rsid w:val="00987888"/>
    <w:rsid w:val="009B5ABF"/>
    <w:rsid w:val="009C3DAE"/>
    <w:rsid w:val="009D695A"/>
    <w:rsid w:val="009E0B07"/>
    <w:rsid w:val="009E329D"/>
    <w:rsid w:val="00A010E7"/>
    <w:rsid w:val="00A02B3D"/>
    <w:rsid w:val="00A11C72"/>
    <w:rsid w:val="00A2157C"/>
    <w:rsid w:val="00A31642"/>
    <w:rsid w:val="00A35E5F"/>
    <w:rsid w:val="00A66275"/>
    <w:rsid w:val="00A774CF"/>
    <w:rsid w:val="00A820D0"/>
    <w:rsid w:val="00A85A08"/>
    <w:rsid w:val="00A90E14"/>
    <w:rsid w:val="00AB5002"/>
    <w:rsid w:val="00AC7706"/>
    <w:rsid w:val="00AD19FA"/>
    <w:rsid w:val="00AE77BE"/>
    <w:rsid w:val="00B332B9"/>
    <w:rsid w:val="00B5510D"/>
    <w:rsid w:val="00B56772"/>
    <w:rsid w:val="00B7510C"/>
    <w:rsid w:val="00B83D03"/>
    <w:rsid w:val="00B96AD9"/>
    <w:rsid w:val="00BB382B"/>
    <w:rsid w:val="00C07FCE"/>
    <w:rsid w:val="00C16F32"/>
    <w:rsid w:val="00C2138E"/>
    <w:rsid w:val="00C24947"/>
    <w:rsid w:val="00C36A98"/>
    <w:rsid w:val="00C3756F"/>
    <w:rsid w:val="00C46543"/>
    <w:rsid w:val="00C5167D"/>
    <w:rsid w:val="00C6743B"/>
    <w:rsid w:val="00C67ADB"/>
    <w:rsid w:val="00CA0FAB"/>
    <w:rsid w:val="00CB7B69"/>
    <w:rsid w:val="00CC4F45"/>
    <w:rsid w:val="00CD79C1"/>
    <w:rsid w:val="00CE11C1"/>
    <w:rsid w:val="00CF0AE6"/>
    <w:rsid w:val="00D0488F"/>
    <w:rsid w:val="00D15EB0"/>
    <w:rsid w:val="00D21705"/>
    <w:rsid w:val="00D36AF5"/>
    <w:rsid w:val="00D46152"/>
    <w:rsid w:val="00D51C32"/>
    <w:rsid w:val="00D95052"/>
    <w:rsid w:val="00DA0A8F"/>
    <w:rsid w:val="00DB6FAD"/>
    <w:rsid w:val="00DC54CB"/>
    <w:rsid w:val="00DF3F08"/>
    <w:rsid w:val="00E272B9"/>
    <w:rsid w:val="00E50803"/>
    <w:rsid w:val="00E531BE"/>
    <w:rsid w:val="00E71540"/>
    <w:rsid w:val="00E7605D"/>
    <w:rsid w:val="00E90E08"/>
    <w:rsid w:val="00EA1B90"/>
    <w:rsid w:val="00EA4732"/>
    <w:rsid w:val="00EC3F0F"/>
    <w:rsid w:val="00F00B41"/>
    <w:rsid w:val="00F0451C"/>
    <w:rsid w:val="00F23E49"/>
    <w:rsid w:val="00F25328"/>
    <w:rsid w:val="00F34804"/>
    <w:rsid w:val="00F41C3A"/>
    <w:rsid w:val="00F461D1"/>
    <w:rsid w:val="00F74014"/>
    <w:rsid w:val="00F76F13"/>
    <w:rsid w:val="00F8293F"/>
    <w:rsid w:val="00F872A5"/>
    <w:rsid w:val="00F97379"/>
    <w:rsid w:val="00FC2F23"/>
    <w:rsid w:val="00FC6829"/>
    <w:rsid w:val="00FD2B25"/>
    <w:rsid w:val="00FE7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13" Type="http://schemas.openxmlformats.org/officeDocument/2006/relationships/hyperlink" Target="http://kff.org/uninsured/report/the-uninsured-a-prime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ff.org/uninsured/report/the-uninsured-a-prim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artmouth-hitchcock.org/billing-charges/out_of_pocket_estimator_dhmc.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ff.org/uninsured/report/the-uninsured-a-primer/" TargetMode="External"/><Relationship Id="rId5" Type="http://schemas.openxmlformats.org/officeDocument/2006/relationships/webSettings" Target="webSettings.xml"/><Relationship Id="rId15" Type="http://schemas.openxmlformats.org/officeDocument/2006/relationships/hyperlink" Target="http://www.dartmouth-hitchcock.org/billing-charges/out_of_pocket_estimator_dhmc.html" TargetMode="External"/><Relationship Id="rId10" Type="http://schemas.openxmlformats.org/officeDocument/2006/relationships/hyperlink" Target="http://www.medicai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www.cms.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Daisys</cp:lastModifiedBy>
  <cp:revision>2</cp:revision>
  <cp:lastPrinted>2014-05-28T14:22:00Z</cp:lastPrinted>
  <dcterms:created xsi:type="dcterms:W3CDTF">2015-12-31T19:04:00Z</dcterms:created>
  <dcterms:modified xsi:type="dcterms:W3CDTF">2015-12-31T19:04:00Z</dcterms:modified>
</cp:coreProperties>
</file>