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F3E6" w14:textId="77777777" w:rsidR="00745009" w:rsidRDefault="00745009" w:rsidP="00745009">
      <w:pPr>
        <w:ind w:left="720" w:firstLine="720"/>
        <w:rPr>
          <w:b/>
          <w:sz w:val="28"/>
          <w:szCs w:val="28"/>
        </w:rPr>
      </w:pPr>
      <w:r w:rsidRPr="00264067">
        <w:rPr>
          <w:b/>
          <w:sz w:val="28"/>
          <w:szCs w:val="28"/>
        </w:rPr>
        <w:t xml:space="preserve">Sample </w:t>
      </w:r>
      <w:r>
        <w:rPr>
          <w:b/>
          <w:sz w:val="28"/>
          <w:szCs w:val="28"/>
        </w:rPr>
        <w:t>Inpatient R2 Evaluation Form</w:t>
      </w:r>
    </w:p>
    <w:p w14:paraId="0D249FBD" w14:textId="77777777" w:rsidR="00745009" w:rsidRDefault="00745009" w:rsidP="00745009">
      <w:pPr>
        <w:ind w:left="720" w:firstLine="720"/>
        <w:rPr>
          <w:b/>
          <w:sz w:val="28"/>
          <w:szCs w:val="28"/>
        </w:rPr>
      </w:pPr>
    </w:p>
    <w:p w14:paraId="5110DFB0" w14:textId="77777777" w:rsidR="00745009" w:rsidRDefault="00745009" w:rsidP="00745009">
      <w:pPr>
        <w:jc w:val="center"/>
        <w:rPr>
          <w:b/>
          <w:sz w:val="28"/>
          <w:szCs w:val="28"/>
        </w:rPr>
      </w:pPr>
      <w:r>
        <w:rPr>
          <w:b/>
          <w:noProof/>
        </w:rPr>
        <w:pict w14:anchorId="625017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64.25pt;height:75.2p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zz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">
            <v:textbox>
              <w:txbxContent>
                <w:p w14:paraId="359481CB" w14:textId="77777777" w:rsidR="00745009" w:rsidRDefault="00745009" w:rsidP="00745009">
                  <w:r w:rsidRPr="008C3B04">
                    <w:rPr>
                      <w:b/>
                      <w:i/>
                      <w:u w:val="single"/>
                    </w:rPr>
                    <w:t>Note for faculty and programs:</w:t>
                  </w:r>
                  <w:r w:rsidRPr="008C3B04">
                    <w:t xml:space="preserve"> The specific milestones (behaviors listed on the left column) </w:t>
                  </w:r>
                  <w:proofErr w:type="gramStart"/>
                  <w:r w:rsidRPr="008C3B04">
                    <w:t>have  been</w:t>
                  </w:r>
                  <w:proofErr w:type="gramEnd"/>
                  <w:r w:rsidRPr="008C3B04">
                    <w:t xml:space="preserve"> selected based on local context .  High value milestones have been added (highlighted in yellow) and could be added to any existing assessment form.</w:t>
                  </w:r>
                  <w:r>
                    <w:t xml:space="preserve">  In this assessment, the anchors selected delineate the level of supervision required.  These could be changed to match your program. </w:t>
                  </w:r>
                </w:p>
                <w:p w14:paraId="1D4407B0" w14:textId="77777777" w:rsidR="00745009" w:rsidRDefault="00745009" w:rsidP="00745009"/>
              </w:txbxContent>
            </v:textbox>
          </v:shape>
        </w:pict>
      </w:r>
    </w:p>
    <w:p w14:paraId="0F624E76" w14:textId="77777777" w:rsidR="00745009" w:rsidRPr="00264067" w:rsidRDefault="00745009" w:rsidP="00745009">
      <w:pPr>
        <w:jc w:val="center"/>
        <w:rPr>
          <w:b/>
          <w:sz w:val="28"/>
          <w:szCs w:val="28"/>
        </w:rPr>
      </w:pPr>
    </w:p>
    <w:p w14:paraId="4968D172" w14:textId="77777777" w:rsidR="00745009" w:rsidRDefault="00745009" w:rsidP="00745009">
      <w:pPr>
        <w:jc w:val="center"/>
        <w:rPr>
          <w:b/>
        </w:rPr>
      </w:pPr>
    </w:p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6392"/>
        <w:gridCol w:w="623"/>
        <w:gridCol w:w="623"/>
        <w:gridCol w:w="623"/>
        <w:gridCol w:w="623"/>
        <w:gridCol w:w="623"/>
        <w:gridCol w:w="1816"/>
      </w:tblGrid>
      <w:tr w:rsidR="00745009" w:rsidRPr="00CF06D9" w14:paraId="1C50CC22" w14:textId="77777777" w:rsidTr="0010223B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E51" w14:textId="77777777" w:rsidR="0074500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58F2D357" w14:textId="77777777" w:rsidR="0074500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76A2893E" w14:textId="77777777" w:rsidR="0074500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54780B27" w14:textId="77777777" w:rsidR="00745009" w:rsidRPr="00CF06D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>1.    Resident cannot perform this skill, even with assistance.</w:t>
            </w:r>
          </w:p>
        </w:tc>
      </w:tr>
      <w:tr w:rsidR="00745009" w:rsidRPr="00CF06D9" w14:paraId="2DEDBDDE" w14:textId="77777777" w:rsidTr="0010223B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FC95" w14:textId="77777777" w:rsidR="00745009" w:rsidRPr="00CF06D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>2.    Resident can perform this skill, but only under direct (i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.e.</w:t>
            </w: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 xml:space="preserve"> physically present) supervision by a more senior member of the team.</w:t>
            </w:r>
          </w:p>
        </w:tc>
      </w:tr>
      <w:tr w:rsidR="00745009" w:rsidRPr="00CF06D9" w14:paraId="661D2AE8" w14:textId="77777777" w:rsidTr="0010223B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A0B" w14:textId="77777777" w:rsidR="00745009" w:rsidRPr="00CF06D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 xml:space="preserve">3.    Resident can perform this skill under indirect supervision (supervision not physically present but immediately available). </w:t>
            </w:r>
          </w:p>
        </w:tc>
      </w:tr>
      <w:tr w:rsidR="00745009" w:rsidRPr="00CF06D9" w14:paraId="18E7A95B" w14:textId="77777777" w:rsidTr="0010223B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E7FE" w14:textId="77777777" w:rsidR="00745009" w:rsidRPr="00CF06D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 xml:space="preserve">4.    Resident can perform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this skill independently (i.e. </w:t>
            </w: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>without senior level supervision).</w:t>
            </w:r>
          </w:p>
        </w:tc>
      </w:tr>
      <w:tr w:rsidR="00745009" w:rsidRPr="00CF06D9" w14:paraId="6E0316C0" w14:textId="77777777" w:rsidTr="0010223B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6BD" w14:textId="77777777" w:rsidR="0074500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F06D9">
              <w:rPr>
                <w:rFonts w:eastAsia="Times New Roman" w:cs="Calibri"/>
                <w:color w:val="000000"/>
                <w:sz w:val="20"/>
                <w:szCs w:val="20"/>
              </w:rPr>
              <w:t>5.    Resident can act as instructor for this skill.</w:t>
            </w:r>
          </w:p>
          <w:p w14:paraId="0D32B980" w14:textId="77777777" w:rsidR="00745009" w:rsidRPr="00CF06D9" w:rsidRDefault="00745009" w:rsidP="001022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009" w14:paraId="045BEDC0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tcBorders>
              <w:bottom w:val="single" w:sz="4" w:space="0" w:color="auto"/>
            </w:tcBorders>
          </w:tcPr>
          <w:p w14:paraId="078CA6E2" w14:textId="77777777" w:rsidR="00745009" w:rsidRPr="00647248" w:rsidRDefault="00745009" w:rsidP="0010223B">
            <w:pPr>
              <w:rPr>
                <w:b/>
              </w:rPr>
            </w:pPr>
            <w:r w:rsidRPr="00647248">
              <w:rPr>
                <w:b/>
              </w:rPr>
              <w:t>Domain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</w:tcPr>
          <w:p w14:paraId="39EAEB91" w14:textId="77777777" w:rsidR="00745009" w:rsidRPr="00647248" w:rsidRDefault="00745009" w:rsidP="0010223B">
            <w:pPr>
              <w:rPr>
                <w:b/>
              </w:rPr>
            </w:pPr>
            <w:r w:rsidRPr="00647248">
              <w:rPr>
                <w:b/>
              </w:rPr>
              <w:t>Entrustment Level</w:t>
            </w:r>
          </w:p>
        </w:tc>
      </w:tr>
      <w:tr w:rsidR="00745009" w14:paraId="67E9E027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shd w:val="pct15" w:color="auto" w:fill="auto"/>
          </w:tcPr>
          <w:p w14:paraId="55BC8A95" w14:textId="77777777" w:rsidR="00745009" w:rsidRPr="00647248" w:rsidRDefault="00745009" w:rsidP="0010223B">
            <w:pPr>
              <w:rPr>
                <w:b/>
              </w:rPr>
            </w:pPr>
            <w:r w:rsidRPr="00647248">
              <w:rPr>
                <w:b/>
              </w:rPr>
              <w:t>Independent and Direct Care of Patients with Common Acute Illnesses</w:t>
            </w:r>
          </w:p>
        </w:tc>
        <w:tc>
          <w:tcPr>
            <w:tcW w:w="626" w:type="dxa"/>
            <w:shd w:val="pct15" w:color="auto" w:fill="auto"/>
          </w:tcPr>
          <w:p w14:paraId="3D1D59EF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2A0FFD91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427F720D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2E47366A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7CFF443D" w14:textId="77777777" w:rsidR="00745009" w:rsidRDefault="00745009" w:rsidP="0010223B">
            <w:pPr>
              <w:jc w:val="center"/>
            </w:pPr>
          </w:p>
        </w:tc>
      </w:tr>
      <w:tr w:rsidR="00745009" w14:paraId="16D6A032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12492C16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 xml:space="preserve">Elicit historical subtleties 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>that inform differential diagnosis</w:t>
            </w:r>
          </w:p>
        </w:tc>
        <w:tc>
          <w:tcPr>
            <w:tcW w:w="626" w:type="dxa"/>
          </w:tcPr>
          <w:p w14:paraId="1C2CFB65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04B51C66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330F2C34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681F94B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1E9A0C4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692E75CF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42CC56CF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Make </w:t>
            </w: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appropriate clinical decisions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based on diagnostic test results</w:t>
            </w:r>
          </w:p>
        </w:tc>
        <w:tc>
          <w:tcPr>
            <w:tcW w:w="626" w:type="dxa"/>
          </w:tcPr>
          <w:p w14:paraId="342B2954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76DD4518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21B091CC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0DD5FE21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6582E23F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4CC9D935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366A67C2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sz w:val="18"/>
                <w:szCs w:val="18"/>
              </w:rPr>
              <w:t>Effectively uses history and physical examination skills to minimize the need for further diagnostic testing.</w:t>
            </w:r>
          </w:p>
        </w:tc>
        <w:tc>
          <w:tcPr>
            <w:tcW w:w="626" w:type="dxa"/>
          </w:tcPr>
          <w:p w14:paraId="2B1B43FC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500BF177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753B30A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7AC763D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4E4F21A0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3FD7AF94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769E972C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Customize care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in the context of the patient's preferences and overall health</w:t>
            </w:r>
          </w:p>
        </w:tc>
        <w:tc>
          <w:tcPr>
            <w:tcW w:w="626" w:type="dxa"/>
          </w:tcPr>
          <w:p w14:paraId="3D1A79C8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3BBEBECE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1FAAB3D0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72C0F745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6FDB018F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15610D0F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50779882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Recognize unusual disease presentations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that require complex decision making</w:t>
            </w:r>
          </w:p>
        </w:tc>
        <w:tc>
          <w:tcPr>
            <w:tcW w:w="626" w:type="dxa"/>
          </w:tcPr>
          <w:p w14:paraId="1722819B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21D2CAA3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2EB492F4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607655E8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36CA991F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37595AC5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473EC746" w14:textId="77777777" w:rsidR="00745009" w:rsidRPr="00745009" w:rsidRDefault="00745009" w:rsidP="0010223B">
            <w:pPr>
              <w:contextualSpacing/>
              <w:rPr>
                <w:rFonts w:cs="Calibri"/>
                <w:sz w:val="18"/>
                <w:szCs w:val="18"/>
              </w:rPr>
            </w:pPr>
            <w:r w:rsidRPr="00745009">
              <w:rPr>
                <w:rFonts w:cs="Calibri"/>
                <w:sz w:val="18"/>
                <w:szCs w:val="18"/>
              </w:rPr>
              <w:t xml:space="preserve">Incorporates cost-awareness principles into standard clinical judgments and decision-making, including screening tests. </w:t>
            </w:r>
          </w:p>
        </w:tc>
        <w:tc>
          <w:tcPr>
            <w:tcW w:w="626" w:type="dxa"/>
          </w:tcPr>
          <w:p w14:paraId="4E6FA591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2C2F7D0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34DD193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211E17DF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1A869045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60E76672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shd w:val="pct15" w:color="auto" w:fill="auto"/>
            <w:vAlign w:val="center"/>
          </w:tcPr>
          <w:p w14:paraId="79FBF7C7" w14:textId="77777777" w:rsidR="00745009" w:rsidRPr="00647248" w:rsidRDefault="00745009" w:rsidP="0010223B">
            <w:pPr>
              <w:rPr>
                <w:rFonts w:cs="Calibri"/>
                <w:b/>
              </w:rPr>
            </w:pPr>
            <w:r w:rsidRPr="00647248">
              <w:rPr>
                <w:rFonts w:cs="Calibri"/>
                <w:b/>
              </w:rPr>
              <w:t>Recognition of Need for Help and Need for Consultative and/or Urgent Assistance</w:t>
            </w:r>
          </w:p>
        </w:tc>
        <w:tc>
          <w:tcPr>
            <w:tcW w:w="626" w:type="dxa"/>
            <w:shd w:val="pct15" w:color="auto" w:fill="auto"/>
          </w:tcPr>
          <w:p w14:paraId="525D80AF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681E88EC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7677AD48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683FA468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6C93105B" w14:textId="77777777" w:rsidR="00745009" w:rsidRDefault="00745009" w:rsidP="0010223B">
            <w:pPr>
              <w:jc w:val="center"/>
            </w:pPr>
          </w:p>
        </w:tc>
      </w:tr>
      <w:tr w:rsidR="00745009" w14:paraId="64188725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28521921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Admit mistakes and </w:t>
            </w: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respond appropriately to feedback</w:t>
            </w:r>
          </w:p>
        </w:tc>
        <w:tc>
          <w:tcPr>
            <w:tcW w:w="626" w:type="dxa"/>
          </w:tcPr>
          <w:p w14:paraId="709AC82C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7CFE413B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41198160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0A850CFB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2D4FA924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2B87C237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1C0571B5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Ask for </w:t>
            </w: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supervision and consultative assistance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when needed</w:t>
            </w:r>
          </w:p>
        </w:tc>
        <w:tc>
          <w:tcPr>
            <w:tcW w:w="626" w:type="dxa"/>
          </w:tcPr>
          <w:p w14:paraId="17E7E960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</w:tcPr>
          <w:p w14:paraId="36F0B954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</w:tcPr>
          <w:p w14:paraId="4C02A0DC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</w:tcPr>
          <w:p w14:paraId="1BE1ED7E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</w:tcPr>
          <w:p w14:paraId="4560BEE2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17ADA1CC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14:paraId="123270DB" w14:textId="77777777" w:rsidR="00745009" w:rsidRPr="00745009" w:rsidRDefault="00745009" w:rsidP="0010223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Diagnose and initiate treatment of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emergent conditions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4202FDE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1D914D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10024B7D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316AEC9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83C2D95" w14:textId="77777777" w:rsidR="00745009" w:rsidRPr="00745009" w:rsidRDefault="00745009" w:rsidP="0010223B">
            <w:pPr>
              <w:jc w:val="center"/>
              <w:rPr>
                <w:rFonts w:cs="Calibri"/>
              </w:rPr>
            </w:pPr>
            <w:r w:rsidRPr="00745009">
              <w:rPr>
                <w:rFonts w:cs="Calibri"/>
              </w:rPr>
              <w:t>5</w:t>
            </w:r>
          </w:p>
        </w:tc>
      </w:tr>
      <w:tr w:rsidR="00745009" w14:paraId="0A5F7198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shd w:val="pct15" w:color="auto" w:fill="auto"/>
          </w:tcPr>
          <w:p w14:paraId="7B24BB77" w14:textId="77777777" w:rsidR="00745009" w:rsidRPr="00647248" w:rsidRDefault="00745009" w:rsidP="0010223B">
            <w:pPr>
              <w:rPr>
                <w:rFonts w:cs="Calibri"/>
                <w:b/>
              </w:rPr>
            </w:pPr>
            <w:r w:rsidRPr="00647248">
              <w:rPr>
                <w:rFonts w:cs="Calibri"/>
                <w:b/>
              </w:rPr>
              <w:t xml:space="preserve">Performance of Proper Role in </w:t>
            </w:r>
            <w:proofErr w:type="spellStart"/>
            <w:r w:rsidRPr="00647248">
              <w:rPr>
                <w:rFonts w:cs="Calibri"/>
                <w:b/>
              </w:rPr>
              <w:t>Interprofessional</w:t>
            </w:r>
            <w:proofErr w:type="spellEnd"/>
            <w:r w:rsidRPr="00647248">
              <w:rPr>
                <w:rFonts w:cs="Calibri"/>
                <w:b/>
              </w:rPr>
              <w:t xml:space="preserve"> Care Teams</w:t>
            </w:r>
          </w:p>
        </w:tc>
        <w:tc>
          <w:tcPr>
            <w:tcW w:w="626" w:type="dxa"/>
            <w:shd w:val="pct15" w:color="auto" w:fill="auto"/>
          </w:tcPr>
          <w:p w14:paraId="4B38B273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5922C71C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263D5524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19F802FF" w14:textId="77777777" w:rsidR="00745009" w:rsidRDefault="00745009" w:rsidP="0010223B">
            <w:pPr>
              <w:jc w:val="center"/>
            </w:pPr>
          </w:p>
        </w:tc>
        <w:tc>
          <w:tcPr>
            <w:tcW w:w="626" w:type="dxa"/>
            <w:shd w:val="pct15" w:color="auto" w:fill="auto"/>
          </w:tcPr>
          <w:p w14:paraId="5A97BDF6" w14:textId="77777777" w:rsidR="00745009" w:rsidRDefault="00745009" w:rsidP="0010223B">
            <w:pPr>
              <w:jc w:val="center"/>
            </w:pPr>
          </w:p>
        </w:tc>
      </w:tr>
      <w:tr w:rsidR="00745009" w14:paraId="402822FD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0A9584ED" w14:textId="77777777" w:rsidR="00745009" w:rsidRPr="00745009" w:rsidRDefault="00745009" w:rsidP="0010223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Role model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professional behaviors for junior colleagues</w:t>
            </w:r>
          </w:p>
        </w:tc>
        <w:tc>
          <w:tcPr>
            <w:tcW w:w="626" w:type="dxa"/>
          </w:tcPr>
          <w:p w14:paraId="25192E1F" w14:textId="77777777" w:rsidR="00745009" w:rsidRDefault="00745009" w:rsidP="0010223B">
            <w:pPr>
              <w:jc w:val="center"/>
            </w:pPr>
            <w:r>
              <w:t>1</w:t>
            </w:r>
          </w:p>
        </w:tc>
        <w:tc>
          <w:tcPr>
            <w:tcW w:w="626" w:type="dxa"/>
          </w:tcPr>
          <w:p w14:paraId="520B33AD" w14:textId="77777777" w:rsidR="00745009" w:rsidRDefault="00745009" w:rsidP="0010223B">
            <w:pPr>
              <w:jc w:val="center"/>
            </w:pPr>
            <w:r>
              <w:t>2</w:t>
            </w:r>
          </w:p>
        </w:tc>
        <w:tc>
          <w:tcPr>
            <w:tcW w:w="626" w:type="dxa"/>
          </w:tcPr>
          <w:p w14:paraId="12CA5A94" w14:textId="77777777" w:rsidR="00745009" w:rsidRDefault="00745009" w:rsidP="0010223B">
            <w:pPr>
              <w:jc w:val="center"/>
            </w:pPr>
            <w:r>
              <w:t>3</w:t>
            </w:r>
          </w:p>
        </w:tc>
        <w:tc>
          <w:tcPr>
            <w:tcW w:w="626" w:type="dxa"/>
          </w:tcPr>
          <w:p w14:paraId="7801945D" w14:textId="77777777" w:rsidR="00745009" w:rsidRDefault="00745009" w:rsidP="0010223B">
            <w:pPr>
              <w:jc w:val="center"/>
            </w:pPr>
            <w:r>
              <w:t>4</w:t>
            </w:r>
          </w:p>
        </w:tc>
        <w:tc>
          <w:tcPr>
            <w:tcW w:w="626" w:type="dxa"/>
          </w:tcPr>
          <w:p w14:paraId="6FA5A141" w14:textId="77777777" w:rsidR="00745009" w:rsidRDefault="00745009" w:rsidP="0010223B">
            <w:pPr>
              <w:jc w:val="center"/>
            </w:pPr>
            <w:r>
              <w:t>5</w:t>
            </w:r>
          </w:p>
        </w:tc>
      </w:tr>
      <w:tr w:rsidR="00745009" w14:paraId="267F7229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5ED31ECC" w14:textId="77777777" w:rsidR="00745009" w:rsidRPr="00745009" w:rsidRDefault="00745009" w:rsidP="0010223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Manage</w:t>
            </w: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 the healthcare team to coordinate s</w:t>
            </w: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afe discharge transitions</w:t>
            </w:r>
          </w:p>
        </w:tc>
        <w:tc>
          <w:tcPr>
            <w:tcW w:w="626" w:type="dxa"/>
          </w:tcPr>
          <w:p w14:paraId="64515E9C" w14:textId="77777777" w:rsidR="00745009" w:rsidRDefault="00745009" w:rsidP="0010223B">
            <w:pPr>
              <w:jc w:val="center"/>
            </w:pPr>
            <w:r>
              <w:t>1</w:t>
            </w:r>
          </w:p>
        </w:tc>
        <w:tc>
          <w:tcPr>
            <w:tcW w:w="626" w:type="dxa"/>
          </w:tcPr>
          <w:p w14:paraId="20A77318" w14:textId="77777777" w:rsidR="00745009" w:rsidRDefault="00745009" w:rsidP="0010223B">
            <w:pPr>
              <w:jc w:val="center"/>
            </w:pPr>
            <w:r>
              <w:t>2</w:t>
            </w:r>
          </w:p>
        </w:tc>
        <w:tc>
          <w:tcPr>
            <w:tcW w:w="626" w:type="dxa"/>
          </w:tcPr>
          <w:p w14:paraId="52F73330" w14:textId="77777777" w:rsidR="00745009" w:rsidRDefault="00745009" w:rsidP="0010223B">
            <w:pPr>
              <w:jc w:val="center"/>
            </w:pPr>
            <w:r>
              <w:t>3</w:t>
            </w:r>
          </w:p>
        </w:tc>
        <w:tc>
          <w:tcPr>
            <w:tcW w:w="626" w:type="dxa"/>
          </w:tcPr>
          <w:p w14:paraId="70739F9C" w14:textId="77777777" w:rsidR="00745009" w:rsidRDefault="00745009" w:rsidP="0010223B">
            <w:pPr>
              <w:jc w:val="center"/>
            </w:pPr>
            <w:r>
              <w:t>4</w:t>
            </w:r>
          </w:p>
        </w:tc>
        <w:tc>
          <w:tcPr>
            <w:tcW w:w="626" w:type="dxa"/>
          </w:tcPr>
          <w:p w14:paraId="1EBF2872" w14:textId="77777777" w:rsidR="00745009" w:rsidRDefault="00745009" w:rsidP="0010223B">
            <w:pPr>
              <w:jc w:val="center"/>
            </w:pPr>
            <w:r>
              <w:t>5</w:t>
            </w:r>
          </w:p>
        </w:tc>
      </w:tr>
      <w:tr w:rsidR="00745009" w14:paraId="660C4437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024B5315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color w:val="000000"/>
                <w:sz w:val="20"/>
                <w:szCs w:val="20"/>
              </w:rPr>
              <w:t xml:space="preserve">Effectively handle encounters with </w:t>
            </w:r>
            <w:r w:rsidRPr="00745009">
              <w:rPr>
                <w:rFonts w:cs="Calibri"/>
                <w:bCs/>
                <w:color w:val="000000"/>
                <w:sz w:val="20"/>
                <w:szCs w:val="20"/>
              </w:rPr>
              <w:t>challenging or difficult patients</w:t>
            </w:r>
          </w:p>
        </w:tc>
        <w:tc>
          <w:tcPr>
            <w:tcW w:w="626" w:type="dxa"/>
          </w:tcPr>
          <w:p w14:paraId="1EBF0B59" w14:textId="77777777" w:rsidR="00745009" w:rsidRDefault="00745009" w:rsidP="0010223B">
            <w:pPr>
              <w:jc w:val="center"/>
            </w:pPr>
            <w:r>
              <w:t>1</w:t>
            </w:r>
          </w:p>
        </w:tc>
        <w:tc>
          <w:tcPr>
            <w:tcW w:w="626" w:type="dxa"/>
          </w:tcPr>
          <w:p w14:paraId="22230A16" w14:textId="77777777" w:rsidR="00745009" w:rsidRDefault="00745009" w:rsidP="0010223B">
            <w:pPr>
              <w:jc w:val="center"/>
            </w:pPr>
            <w:r>
              <w:t>2</w:t>
            </w:r>
          </w:p>
        </w:tc>
        <w:tc>
          <w:tcPr>
            <w:tcW w:w="626" w:type="dxa"/>
          </w:tcPr>
          <w:p w14:paraId="3546B3AD" w14:textId="77777777" w:rsidR="00745009" w:rsidRDefault="00745009" w:rsidP="0010223B">
            <w:pPr>
              <w:jc w:val="center"/>
            </w:pPr>
            <w:r>
              <w:t>3</w:t>
            </w:r>
          </w:p>
        </w:tc>
        <w:tc>
          <w:tcPr>
            <w:tcW w:w="626" w:type="dxa"/>
          </w:tcPr>
          <w:p w14:paraId="7467CAD6" w14:textId="77777777" w:rsidR="00745009" w:rsidRDefault="00745009" w:rsidP="0010223B">
            <w:pPr>
              <w:jc w:val="center"/>
            </w:pPr>
            <w:r>
              <w:t>4</w:t>
            </w:r>
          </w:p>
        </w:tc>
        <w:tc>
          <w:tcPr>
            <w:tcW w:w="626" w:type="dxa"/>
          </w:tcPr>
          <w:p w14:paraId="4CDD6F86" w14:textId="77777777" w:rsidR="00745009" w:rsidRDefault="00745009" w:rsidP="0010223B">
            <w:pPr>
              <w:jc w:val="center"/>
            </w:pPr>
            <w:r>
              <w:t>5</w:t>
            </w:r>
          </w:p>
        </w:tc>
      </w:tr>
      <w:tr w:rsidR="00745009" w14:paraId="28CB111F" w14:textId="77777777" w:rsidTr="001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7" w:type="dxa"/>
        </w:trPr>
        <w:tc>
          <w:tcPr>
            <w:tcW w:w="6446" w:type="dxa"/>
            <w:vAlign w:val="center"/>
          </w:tcPr>
          <w:p w14:paraId="7FA1D854" w14:textId="77777777" w:rsidR="00745009" w:rsidRPr="00745009" w:rsidRDefault="00745009" w:rsidP="0010223B">
            <w:pPr>
              <w:rPr>
                <w:rFonts w:cs="Calibri"/>
                <w:color w:val="000000"/>
                <w:sz w:val="20"/>
                <w:szCs w:val="20"/>
              </w:rPr>
            </w:pPr>
            <w:r w:rsidRPr="00745009">
              <w:rPr>
                <w:rFonts w:cs="Calibri"/>
                <w:sz w:val="18"/>
                <w:szCs w:val="18"/>
              </w:rPr>
              <w:t>Identifies and incorporates patient preference in shared decision making across a wide variety of patient care conversations.</w:t>
            </w:r>
          </w:p>
        </w:tc>
        <w:tc>
          <w:tcPr>
            <w:tcW w:w="626" w:type="dxa"/>
          </w:tcPr>
          <w:p w14:paraId="7EF5135C" w14:textId="77777777" w:rsidR="00745009" w:rsidRDefault="00745009" w:rsidP="0010223B">
            <w:pPr>
              <w:jc w:val="center"/>
            </w:pPr>
            <w:r>
              <w:t>1</w:t>
            </w:r>
          </w:p>
        </w:tc>
        <w:tc>
          <w:tcPr>
            <w:tcW w:w="626" w:type="dxa"/>
          </w:tcPr>
          <w:p w14:paraId="1AF4B293" w14:textId="77777777" w:rsidR="00745009" w:rsidRDefault="00745009" w:rsidP="0010223B">
            <w:pPr>
              <w:jc w:val="center"/>
            </w:pPr>
            <w:r>
              <w:t>2</w:t>
            </w:r>
          </w:p>
        </w:tc>
        <w:tc>
          <w:tcPr>
            <w:tcW w:w="626" w:type="dxa"/>
          </w:tcPr>
          <w:p w14:paraId="38737883" w14:textId="77777777" w:rsidR="00745009" w:rsidRDefault="00745009" w:rsidP="0010223B">
            <w:pPr>
              <w:jc w:val="center"/>
            </w:pPr>
            <w:r>
              <w:t>3</w:t>
            </w:r>
          </w:p>
        </w:tc>
        <w:tc>
          <w:tcPr>
            <w:tcW w:w="626" w:type="dxa"/>
          </w:tcPr>
          <w:p w14:paraId="40E2FB87" w14:textId="77777777" w:rsidR="00745009" w:rsidRDefault="00745009" w:rsidP="0010223B">
            <w:pPr>
              <w:jc w:val="center"/>
            </w:pPr>
            <w:r>
              <w:t>4</w:t>
            </w:r>
          </w:p>
        </w:tc>
        <w:tc>
          <w:tcPr>
            <w:tcW w:w="626" w:type="dxa"/>
          </w:tcPr>
          <w:p w14:paraId="5ED83DE3" w14:textId="77777777" w:rsidR="00745009" w:rsidRDefault="00745009" w:rsidP="0010223B">
            <w:pPr>
              <w:jc w:val="center"/>
            </w:pPr>
            <w:r>
              <w:t>5</w:t>
            </w:r>
          </w:p>
        </w:tc>
      </w:tr>
    </w:tbl>
    <w:p w14:paraId="115C9C12" w14:textId="77777777" w:rsidR="00745009" w:rsidRDefault="00745009" w:rsidP="00745009"/>
    <w:p w14:paraId="28DC0ECB" w14:textId="77777777" w:rsidR="00745009" w:rsidRDefault="00745009" w:rsidP="00745009">
      <w:pPr>
        <w:rPr>
          <w:sz w:val="24"/>
          <w:szCs w:val="24"/>
        </w:rPr>
      </w:pPr>
    </w:p>
    <w:p w14:paraId="1D305AB0" w14:textId="77777777" w:rsidR="00745009" w:rsidRPr="006D7F6D" w:rsidRDefault="00745009" w:rsidP="00745009"/>
    <w:p w14:paraId="4031F9EE" w14:textId="77777777" w:rsidR="00D46152" w:rsidRPr="00745009" w:rsidRDefault="00D46152" w:rsidP="00745009">
      <w:bookmarkStart w:id="0" w:name="_GoBack"/>
      <w:bookmarkEnd w:id="0"/>
    </w:p>
    <w:sectPr w:rsidR="00D46152" w:rsidRPr="00745009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A172" w14:textId="77777777" w:rsidR="004530C9" w:rsidRDefault="004530C9" w:rsidP="003D171D">
      <w:r>
        <w:separator/>
      </w:r>
    </w:p>
  </w:endnote>
  <w:endnote w:type="continuationSeparator" w:id="0">
    <w:p w14:paraId="5B5FCA40" w14:textId="77777777" w:rsidR="004530C9" w:rsidRDefault="004530C9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FAD" w14:textId="77777777" w:rsidR="00D46152" w:rsidRDefault="00263717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EE8E8" w14:textId="77777777"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08E" w14:textId="77777777" w:rsidR="00D46152" w:rsidRDefault="00263717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0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3859F" w14:textId="3187A43F" w:rsidR="00D46152" w:rsidRDefault="00745009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 w14:anchorId="7BCE44B0">
        <v:line id="_x0000_s2051" style="position:absolute;left:0;text-align:left;z-index:251658752" from="-54pt,-3.75pt" to="8in,-3.75pt" strokecolor="#17365d" strokeweight="1pt">
          <v:fill o:detectmouseclick="t"/>
          <v:shadow opacity="22938f" offset="0"/>
        </v:line>
      </w:pict>
    </w:r>
    <w:r w:rsidR="002A47E8">
      <w:rPr>
        <w:rFonts w:ascii="Trebuchet MS" w:hAnsi="Trebuchet MS"/>
        <w:noProof/>
      </w:rPr>
      <w:pict w14:anchorId="0D88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24.75pt">
          <v:imagedata r:id="rId1" o:title="acp-logo-horiz-rgb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 w:rsidR="002A47E8">
      <w:rPr>
        <w:rFonts w:ascii="Trebuchet MS" w:hAnsi="Trebuchet MS"/>
        <w:noProof/>
      </w:rPr>
      <w:pict w14:anchorId="070A1A62">
        <v:shape id="Picture 5" o:spid="_x0000_i1027" type="#_x0000_t75" alt="aaim_logo_4colorprocess.eps" style="width:90pt;height:29.2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05A9" w14:textId="77777777" w:rsidR="004530C9" w:rsidRDefault="004530C9" w:rsidP="003D171D">
      <w:r>
        <w:separator/>
      </w:r>
    </w:p>
  </w:footnote>
  <w:footnote w:type="continuationSeparator" w:id="0">
    <w:p w14:paraId="50F0634A" w14:textId="77777777" w:rsidR="004530C9" w:rsidRDefault="004530C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A27D" w14:textId="77777777" w:rsidR="00D46152" w:rsidRDefault="00263717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91B8" w14:textId="77777777"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BB4" w14:textId="34622225" w:rsidR="00D46152" w:rsidRPr="00633683" w:rsidRDefault="00745009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 w14:anchorId="44F4761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in;margin-top:-9pt;width:315pt;height:63pt;z-index:251659776" filled="f" stroked="f">
          <v:fill o:detectmouseclick="t"/>
          <v:textbox inset=",7.2pt,,7.2pt">
            <w:txbxContent>
              <w:p w14:paraId="53297DA0" w14:textId="77777777" w:rsidR="00745009" w:rsidRPr="00C55C85" w:rsidRDefault="00745009" w:rsidP="00745009">
                <w:pPr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Toolbox: Sample Resident Evaluation with HVC Milestones</w:t>
                </w:r>
              </w:p>
              <w:p w14:paraId="29A2E3B1" w14:textId="180C788D" w:rsidR="006D7F6D" w:rsidRPr="002E0F7D" w:rsidRDefault="006D7F6D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b/>
        <w:bCs/>
        <w:sz w:val="40"/>
      </w:rPr>
      <w:pict w14:anchorId="33C4C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36.75pt">
          <v:imagedata r:id="rId1" o:title="acp-highvaluecare-logo-rgb600"/>
        </v:shape>
      </w:pict>
    </w:r>
  </w:p>
  <w:p w14:paraId="6BEFEF29" w14:textId="02B973C4" w:rsidR="00D46152" w:rsidRPr="00633683" w:rsidRDefault="00D46152" w:rsidP="006D7F6D">
    <w:pPr>
      <w:pStyle w:val="Header"/>
      <w:tabs>
        <w:tab w:val="clear" w:pos="9360"/>
        <w:tab w:val="right" w:pos="9810"/>
      </w:tabs>
      <w:ind w:right="360"/>
      <w:jc w:val="right"/>
    </w:pPr>
  </w:p>
  <w:p w14:paraId="6EB6EFA1" w14:textId="1F9ACB85" w:rsidR="006D7F6D" w:rsidRPr="00633683" w:rsidRDefault="00745009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 w14:anchorId="7BAB75AC">
        <v:line id="_x0000_s2050" style="position:absolute;left:0;text-align:left;z-index:251657728" from="-54pt,3.25pt" to="594pt,3.25pt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375"/>
    <w:multiLevelType w:val="hybridMultilevel"/>
    <w:tmpl w:val="89A64C64"/>
    <w:lvl w:ilvl="0" w:tplc="F8F6A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8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8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24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8E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B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C0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B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42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F81"/>
    <w:multiLevelType w:val="hybridMultilevel"/>
    <w:tmpl w:val="FF98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A446E3"/>
    <w:multiLevelType w:val="hybridMultilevel"/>
    <w:tmpl w:val="6D92EB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187"/>
    <w:multiLevelType w:val="hybridMultilevel"/>
    <w:tmpl w:val="B9AEE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6218A"/>
    <w:multiLevelType w:val="hybridMultilevel"/>
    <w:tmpl w:val="FA64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164CA"/>
    <w:multiLevelType w:val="hybridMultilevel"/>
    <w:tmpl w:val="C546A188"/>
    <w:lvl w:ilvl="0" w:tplc="83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A0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CD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8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D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2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4C54"/>
    <w:multiLevelType w:val="hybridMultilevel"/>
    <w:tmpl w:val="37205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5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62962"/>
    <w:multiLevelType w:val="hybridMultilevel"/>
    <w:tmpl w:val="95A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300E9B"/>
    <w:multiLevelType w:val="hybridMultilevel"/>
    <w:tmpl w:val="13D2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548B"/>
    <w:multiLevelType w:val="hybridMultilevel"/>
    <w:tmpl w:val="284E8BFA"/>
    <w:lvl w:ilvl="0" w:tplc="574C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0C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A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6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5DA133D8"/>
    <w:multiLevelType w:val="hybridMultilevel"/>
    <w:tmpl w:val="60EA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365F80"/>
    <w:multiLevelType w:val="hybridMultilevel"/>
    <w:tmpl w:val="C9B0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6A3E04"/>
    <w:multiLevelType w:val="hybridMultilevel"/>
    <w:tmpl w:val="D892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2"/>
  </w:num>
  <w:num w:numId="5">
    <w:abstractNumId w:val="8"/>
  </w:num>
  <w:num w:numId="6">
    <w:abstractNumId w:val="14"/>
  </w:num>
  <w:num w:numId="7">
    <w:abstractNumId w:val="0"/>
  </w:num>
  <w:num w:numId="8">
    <w:abstractNumId w:val="31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17"/>
  </w:num>
  <w:num w:numId="14">
    <w:abstractNumId w:val="29"/>
  </w:num>
  <w:num w:numId="15">
    <w:abstractNumId w:val="11"/>
  </w:num>
  <w:num w:numId="16">
    <w:abstractNumId w:val="30"/>
  </w:num>
  <w:num w:numId="17">
    <w:abstractNumId w:val="23"/>
  </w:num>
  <w:num w:numId="18">
    <w:abstractNumId w:val="18"/>
  </w:num>
  <w:num w:numId="19">
    <w:abstractNumId w:val="25"/>
  </w:num>
  <w:num w:numId="20">
    <w:abstractNumId w:val="28"/>
  </w:num>
  <w:num w:numId="21">
    <w:abstractNumId w:val="26"/>
  </w:num>
  <w:num w:numId="22">
    <w:abstractNumId w:val="1"/>
  </w:num>
  <w:num w:numId="23">
    <w:abstractNumId w:val="12"/>
  </w:num>
  <w:num w:numId="24">
    <w:abstractNumId w:val="20"/>
  </w:num>
  <w:num w:numId="25">
    <w:abstractNumId w:val="7"/>
  </w:num>
  <w:num w:numId="26">
    <w:abstractNumId w:val="27"/>
  </w:num>
  <w:num w:numId="27">
    <w:abstractNumId w:val="13"/>
  </w:num>
  <w:num w:numId="28">
    <w:abstractNumId w:val="9"/>
  </w:num>
  <w:num w:numId="29">
    <w:abstractNumId w:val="16"/>
  </w:num>
  <w:num w:numId="30">
    <w:abstractNumId w:val="10"/>
  </w:num>
  <w:num w:numId="31">
    <w:abstractNumId w:val="19"/>
  </w:num>
  <w:num w:numId="32">
    <w:abstractNumId w:val="32"/>
  </w:num>
  <w:num w:numId="3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2A14"/>
    <w:rsid w:val="0003625E"/>
    <w:rsid w:val="000554C5"/>
    <w:rsid w:val="00067BAF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33683"/>
    <w:rsid w:val="00664EEE"/>
    <w:rsid w:val="00677790"/>
    <w:rsid w:val="006B047F"/>
    <w:rsid w:val="006D06BF"/>
    <w:rsid w:val="006D3E66"/>
    <w:rsid w:val="006D7F6D"/>
    <w:rsid w:val="006F20BE"/>
    <w:rsid w:val="006F76BE"/>
    <w:rsid w:val="007430EF"/>
    <w:rsid w:val="00745009"/>
    <w:rsid w:val="00747F20"/>
    <w:rsid w:val="00750990"/>
    <w:rsid w:val="0075136D"/>
    <w:rsid w:val="007915B7"/>
    <w:rsid w:val="007A7BB6"/>
    <w:rsid w:val="007D21E0"/>
    <w:rsid w:val="007D6EEA"/>
    <w:rsid w:val="007E5CF1"/>
    <w:rsid w:val="00807E8F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B6FAD"/>
    <w:rsid w:val="00DC54CB"/>
    <w:rsid w:val="00E026C4"/>
    <w:rsid w:val="00E272B9"/>
    <w:rsid w:val="00E7605D"/>
    <w:rsid w:val="00E90E08"/>
    <w:rsid w:val="00EA1B90"/>
    <w:rsid w:val="00EA4732"/>
    <w:rsid w:val="00EC3F0F"/>
    <w:rsid w:val="00F00B41"/>
    <w:rsid w:val="00F0451C"/>
    <w:rsid w:val="00F069F8"/>
    <w:rsid w:val="00F36FED"/>
    <w:rsid w:val="00F41C3A"/>
    <w:rsid w:val="00F44C55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3B03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hadow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customStyle="1" w:styleId="pubmedlink">
    <w:name w:val="pubmedlink"/>
    <w:basedOn w:val="DefaultParagraphFont"/>
    <w:rsid w:val="00E026C4"/>
  </w:style>
  <w:style w:type="character" w:styleId="Emphasis">
    <w:name w:val="Emphasis"/>
    <w:basedOn w:val="DefaultParagraphFont"/>
    <w:qFormat/>
    <w:locked/>
    <w:rsid w:val="00E026C4"/>
    <w:rPr>
      <w:i/>
      <w:iCs/>
    </w:rPr>
  </w:style>
  <w:style w:type="character" w:customStyle="1" w:styleId="reftext">
    <w:name w:val="reftext"/>
    <w:basedOn w:val="DefaultParagraphFont"/>
    <w:rsid w:val="00E026C4"/>
  </w:style>
  <w:style w:type="paragraph" w:styleId="EndnoteText">
    <w:name w:val="endnote text"/>
    <w:basedOn w:val="Normal"/>
    <w:link w:val="EndnoteTextChar"/>
    <w:uiPriority w:val="99"/>
    <w:semiHidden/>
    <w:unhideWhenUsed/>
    <w:rsid w:val="00067BAF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BAF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067BAF"/>
    <w:rPr>
      <w:vertAlign w:val="superscript"/>
    </w:rPr>
  </w:style>
  <w:style w:type="paragraph" w:customStyle="1" w:styleId="Default">
    <w:name w:val="Default"/>
    <w:rsid w:val="00067BA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2</cp:revision>
  <cp:lastPrinted>2014-05-28T14:22:00Z</cp:lastPrinted>
  <dcterms:created xsi:type="dcterms:W3CDTF">2014-06-16T18:19:00Z</dcterms:created>
  <dcterms:modified xsi:type="dcterms:W3CDTF">2014-06-16T18:19:00Z</dcterms:modified>
</cp:coreProperties>
</file>