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FF88B" w14:textId="77777777" w:rsidR="00F44C55" w:rsidRPr="00F44C55" w:rsidRDefault="00F44C55" w:rsidP="00F44C55">
      <w:pPr>
        <w:rPr>
          <w:b/>
          <w:sz w:val="28"/>
          <w:szCs w:val="28"/>
        </w:rPr>
      </w:pPr>
      <w:r w:rsidRPr="00F44C55">
        <w:rPr>
          <w:b/>
          <w:sz w:val="28"/>
          <w:szCs w:val="28"/>
        </w:rPr>
        <w:t>Facilitators Guide</w:t>
      </w:r>
    </w:p>
    <w:p w14:paraId="3BB252E6" w14:textId="77777777" w:rsidR="00F44C55" w:rsidRDefault="00F44C55" w:rsidP="00F44C55">
      <w:pPr>
        <w:rPr>
          <w:b/>
        </w:rPr>
      </w:pPr>
    </w:p>
    <w:p w14:paraId="353E580A" w14:textId="0C6C76D7" w:rsidR="00F069F8" w:rsidRPr="00F069F8" w:rsidRDefault="00F069F8" w:rsidP="00F069F8">
      <w:r w:rsidRPr="00F069F8">
        <w:rPr>
          <w:b/>
        </w:rPr>
        <w:t>Description</w:t>
      </w:r>
      <w:r w:rsidRPr="00F069F8">
        <w:t xml:space="preserve">: This guide is intended to help the faculty deliver this 60-minute discussion reviewing potential pervasive barriers to the delivery of high value care, </w:t>
      </w:r>
      <w:r w:rsidR="00815072">
        <w:t xml:space="preserve">and </w:t>
      </w:r>
      <w:r w:rsidRPr="00F069F8">
        <w:t>providing tools for effective communication with patients and colleagues.  This is the fifth in a series of six sessions.</w:t>
      </w:r>
    </w:p>
    <w:p w14:paraId="4D2074E6" w14:textId="77777777" w:rsidR="00F069F8" w:rsidRPr="00F069F8" w:rsidRDefault="00F069F8" w:rsidP="00F069F8">
      <w:pPr>
        <w:rPr>
          <w:b/>
        </w:rPr>
      </w:pPr>
    </w:p>
    <w:p w14:paraId="1A4C67DB" w14:textId="77777777" w:rsidR="00F069F8" w:rsidRPr="00F069F8" w:rsidRDefault="00F069F8" w:rsidP="00F069F8">
      <w:r w:rsidRPr="00F069F8">
        <w:rPr>
          <w:b/>
        </w:rPr>
        <w:t>Learning Objectives</w:t>
      </w:r>
      <w:r w:rsidRPr="00F069F8">
        <w:t>:</w:t>
      </w:r>
    </w:p>
    <w:p w14:paraId="373545E9" w14:textId="77777777" w:rsidR="008B5810" w:rsidRPr="008B5810" w:rsidRDefault="008B5810" w:rsidP="008B5810">
      <w:pPr>
        <w:ind w:left="720"/>
      </w:pPr>
      <w:r w:rsidRPr="008B5810">
        <w:t xml:space="preserve">•Describe the barriers to high value care in clinical practice and explore ways </w:t>
      </w:r>
      <w:r w:rsidR="00F03457">
        <w:t>to</w:t>
      </w:r>
      <w:r w:rsidRPr="008B5810">
        <w:t xml:space="preserve"> overcom</w:t>
      </w:r>
      <w:r w:rsidR="00F03457">
        <w:t>e</w:t>
      </w:r>
      <w:r w:rsidRPr="008B5810">
        <w:t xml:space="preserve"> these barriers </w:t>
      </w:r>
    </w:p>
    <w:p w14:paraId="0854C195" w14:textId="77777777" w:rsidR="008B5810" w:rsidRPr="008B5810" w:rsidRDefault="008B5810" w:rsidP="008B5810">
      <w:pPr>
        <w:ind w:left="720"/>
      </w:pPr>
      <w:r w:rsidRPr="008B5810">
        <w:t>•Weigh the efficacy and safety of medical interventions to avoid inappropriate use and harm</w:t>
      </w:r>
    </w:p>
    <w:p w14:paraId="57BF94E1" w14:textId="3817C5FC" w:rsidR="008B5810" w:rsidRPr="008B5810" w:rsidRDefault="008B5810" w:rsidP="008B5810">
      <w:pPr>
        <w:ind w:left="720"/>
      </w:pPr>
      <w:r w:rsidRPr="008B5810">
        <w:t>•Practice negotiating a care plan with patients that incorporate</w:t>
      </w:r>
      <w:r w:rsidR="00F03457">
        <w:t>s</w:t>
      </w:r>
      <w:r w:rsidRPr="008B5810">
        <w:t xml:space="preserve"> their values and address</w:t>
      </w:r>
      <w:r w:rsidR="00815072">
        <w:t>es</w:t>
      </w:r>
      <w:r w:rsidRPr="008B5810">
        <w:t xml:space="preserve"> their concerns</w:t>
      </w:r>
    </w:p>
    <w:p w14:paraId="79417741" w14:textId="77777777" w:rsidR="008B5810" w:rsidRPr="008B5810" w:rsidRDefault="008B5810" w:rsidP="008B5810">
      <w:pPr>
        <w:ind w:left="720"/>
      </w:pPr>
      <w:r w:rsidRPr="008B5810">
        <w:t>•Explain the importance of local culture in your practice decisions</w:t>
      </w:r>
    </w:p>
    <w:p w14:paraId="0E8961D6" w14:textId="77777777" w:rsidR="00F069F8" w:rsidRPr="00F069F8" w:rsidRDefault="00F069F8" w:rsidP="00F069F8">
      <w:pPr>
        <w:rPr>
          <w:b/>
        </w:rPr>
      </w:pPr>
    </w:p>
    <w:p w14:paraId="2044E1F6" w14:textId="124BF91D" w:rsidR="00F069F8" w:rsidRPr="00F069F8" w:rsidRDefault="00F069F8" w:rsidP="00F069F8">
      <w:r w:rsidRPr="00F069F8">
        <w:rPr>
          <w:b/>
        </w:rPr>
        <w:t>Audience/Setting</w:t>
      </w:r>
      <w:r w:rsidRPr="00F069F8">
        <w:t xml:space="preserve">: The intended audience for this module is internal </w:t>
      </w:r>
      <w:r w:rsidR="00815072">
        <w:t>medicine residents and faculty.</w:t>
      </w:r>
      <w:r w:rsidRPr="00F069F8">
        <w:t xml:space="preserve"> Large group setting with time and space for small group work within the session is best.</w:t>
      </w:r>
    </w:p>
    <w:p w14:paraId="0E529956" w14:textId="77777777" w:rsidR="00F069F8" w:rsidRPr="00F069F8" w:rsidRDefault="00F069F8" w:rsidP="00F069F8">
      <w:pPr>
        <w:rPr>
          <w:b/>
        </w:rPr>
      </w:pPr>
    </w:p>
    <w:p w14:paraId="4051D523" w14:textId="0BF6ECBD" w:rsidR="00F069F8" w:rsidRPr="00F069F8" w:rsidRDefault="00F069F8" w:rsidP="00F069F8">
      <w:r w:rsidRPr="00F069F8">
        <w:rPr>
          <w:b/>
        </w:rPr>
        <w:t>Equipment Required</w:t>
      </w:r>
      <w:r w:rsidRPr="00F069F8">
        <w:t xml:space="preserve">: Computer with LCD projector for </w:t>
      </w:r>
      <w:r w:rsidR="00815072">
        <w:t>PowerPoint</w:t>
      </w:r>
      <w:r w:rsidRPr="00F069F8">
        <w:t xml:space="preserve"> presentation</w:t>
      </w:r>
      <w:r w:rsidR="00F03457">
        <w:t xml:space="preserve"> and </w:t>
      </w:r>
      <w:r w:rsidRPr="00F069F8">
        <w:t xml:space="preserve">white board or flip chart for recording group work.  </w:t>
      </w:r>
    </w:p>
    <w:p w14:paraId="10403DC7" w14:textId="77777777" w:rsidR="00F069F8" w:rsidRPr="00F069F8" w:rsidRDefault="00F069F8" w:rsidP="00F069F8"/>
    <w:p w14:paraId="6557B22C" w14:textId="77777777" w:rsidR="00F069F8" w:rsidRPr="00F069F8" w:rsidRDefault="00F069F8" w:rsidP="00F069F8">
      <w:pPr>
        <w:rPr>
          <w:b/>
        </w:rPr>
      </w:pPr>
      <w:r w:rsidRPr="00F069F8">
        <w:rPr>
          <w:b/>
        </w:rPr>
        <w:t>References:</w:t>
      </w:r>
    </w:p>
    <w:p w14:paraId="19FC2720" w14:textId="77777777" w:rsidR="00F069F8" w:rsidRPr="00F069F8" w:rsidRDefault="00F069F8" w:rsidP="00F069F8">
      <w:pPr>
        <w:rPr>
          <w:b/>
        </w:rPr>
      </w:pPr>
    </w:p>
    <w:p w14:paraId="02B64A58" w14:textId="7E8079B0" w:rsidR="008B5810" w:rsidRPr="00941BBE" w:rsidRDefault="00941BBE" w:rsidP="00941BBE">
      <w:pPr>
        <w:pStyle w:val="ListParagraph"/>
        <w:numPr>
          <w:ilvl w:val="0"/>
          <w:numId w:val="24"/>
        </w:numPr>
        <w:rPr>
          <w:rFonts w:cs="Syntax-Bold"/>
          <w:bCs/>
          <w:sz w:val="20"/>
          <w:szCs w:val="20"/>
        </w:rPr>
      </w:pPr>
      <w:r w:rsidRPr="00941BBE">
        <w:rPr>
          <w:rFonts w:cs="Syntax-Bold"/>
          <w:bCs/>
          <w:sz w:val="20"/>
          <w:szCs w:val="20"/>
        </w:rPr>
        <w:t>Studdert DM, Mello MM, Sage WM, et al. Defensive medicine among high-risk specialist physicians in a volatile malpractice environment. JAMA. 2005 Jun 1;293(21):2609-17. [PMID: 15928282]</w:t>
      </w:r>
    </w:p>
    <w:p w14:paraId="5A13E39F" w14:textId="2A1AE4B1" w:rsidR="008B5810" w:rsidRPr="00941BBE" w:rsidRDefault="00941BBE" w:rsidP="00941BBE">
      <w:pPr>
        <w:pStyle w:val="ListParagraph"/>
        <w:numPr>
          <w:ilvl w:val="0"/>
          <w:numId w:val="24"/>
        </w:numPr>
        <w:rPr>
          <w:rFonts w:cs="Syntax-Bold"/>
          <w:bCs/>
          <w:sz w:val="20"/>
          <w:szCs w:val="20"/>
        </w:rPr>
      </w:pPr>
      <w:r w:rsidRPr="00941BBE">
        <w:rPr>
          <w:rFonts w:cs="Syntax-Bold"/>
          <w:bCs/>
          <w:sz w:val="20"/>
          <w:szCs w:val="20"/>
        </w:rPr>
        <w:t>Studdert DM, Mello MM, Gawande AA, et al. Claims, errors, and compensation payments in medical malpractice litigation. N Engl J Med. 2006 May 11;354(19):2024-33. [PMID: 16687715]</w:t>
      </w:r>
    </w:p>
    <w:p w14:paraId="1C824A7F" w14:textId="4C963568" w:rsidR="008B5810" w:rsidRDefault="00941BBE" w:rsidP="00941BBE">
      <w:pPr>
        <w:pStyle w:val="ListParagraph"/>
        <w:numPr>
          <w:ilvl w:val="0"/>
          <w:numId w:val="24"/>
        </w:numPr>
        <w:rPr>
          <w:rFonts w:cs="Syntax-Bold"/>
          <w:bCs/>
          <w:sz w:val="20"/>
          <w:szCs w:val="20"/>
        </w:rPr>
      </w:pPr>
      <w:r w:rsidRPr="00941BBE">
        <w:rPr>
          <w:rFonts w:cs="Syntax-Bold"/>
          <w:bCs/>
          <w:sz w:val="20"/>
          <w:szCs w:val="20"/>
        </w:rPr>
        <w:t>Gallagher TH, Studdert DM, Levinson W. Disclosing harmful medical errors to patients. N Engl J Med. 2007 Jun 28;356(26):2713-9. [PMID: 17596606]</w:t>
      </w:r>
    </w:p>
    <w:p w14:paraId="2A4E1A92" w14:textId="3559A7D1" w:rsidR="008B5810" w:rsidRPr="00941BBE" w:rsidRDefault="00941BBE" w:rsidP="00941BBE">
      <w:pPr>
        <w:pStyle w:val="ListParagraph"/>
        <w:numPr>
          <w:ilvl w:val="0"/>
          <w:numId w:val="24"/>
        </w:numPr>
        <w:rPr>
          <w:rFonts w:cs="Syntax-Bold"/>
          <w:bCs/>
          <w:sz w:val="20"/>
          <w:szCs w:val="20"/>
        </w:rPr>
      </w:pPr>
      <w:r w:rsidRPr="00941BBE">
        <w:rPr>
          <w:rFonts w:cs="Syntax-Bold"/>
          <w:bCs/>
          <w:sz w:val="20"/>
          <w:szCs w:val="20"/>
        </w:rPr>
        <w:t xml:space="preserve">Lee F. An approach using retrospective data to guide the design of a targeted clinical decision support intervention to reduce inappropriately ordered DXA scans [thesis]. </w:t>
      </w:r>
      <w:r>
        <w:rPr>
          <w:rFonts w:cs="Syntax-Bold"/>
          <w:bCs/>
          <w:sz w:val="20"/>
          <w:szCs w:val="20"/>
        </w:rPr>
        <w:t>New York</w:t>
      </w:r>
      <w:r w:rsidR="008723C0">
        <w:rPr>
          <w:rFonts w:cs="Syntax-Bold"/>
          <w:bCs/>
          <w:sz w:val="20"/>
          <w:szCs w:val="20"/>
        </w:rPr>
        <w:t>, NY</w:t>
      </w:r>
      <w:bookmarkStart w:id="0" w:name="_GoBack"/>
      <w:bookmarkEnd w:id="0"/>
      <w:r w:rsidRPr="00941BBE">
        <w:rPr>
          <w:rFonts w:cs="Syntax-Bold"/>
          <w:bCs/>
          <w:sz w:val="20"/>
          <w:szCs w:val="20"/>
        </w:rPr>
        <w:t xml:space="preserve">: Weill Medical College </w:t>
      </w:r>
      <w:r>
        <w:rPr>
          <w:rFonts w:cs="Syntax-Bold"/>
          <w:bCs/>
          <w:sz w:val="20"/>
          <w:szCs w:val="20"/>
        </w:rPr>
        <w:t>o</w:t>
      </w:r>
      <w:r w:rsidRPr="00941BBE">
        <w:rPr>
          <w:rFonts w:cs="Syntax-Bold"/>
          <w:bCs/>
          <w:sz w:val="20"/>
          <w:szCs w:val="20"/>
        </w:rPr>
        <w:t>f Cornell University; 2014. Publication no. 1525999.</w:t>
      </w:r>
    </w:p>
    <w:p w14:paraId="1A0E5E42" w14:textId="086B0C33" w:rsidR="008B5810" w:rsidRPr="006A151B" w:rsidRDefault="006A151B" w:rsidP="006A151B">
      <w:pPr>
        <w:pStyle w:val="ListParagraph"/>
        <w:numPr>
          <w:ilvl w:val="0"/>
          <w:numId w:val="24"/>
        </w:numPr>
        <w:rPr>
          <w:rFonts w:cs="Syntax-Bold"/>
          <w:bCs/>
          <w:sz w:val="20"/>
          <w:szCs w:val="20"/>
        </w:rPr>
      </w:pPr>
      <w:r w:rsidRPr="006A151B">
        <w:rPr>
          <w:rFonts w:cs="Syntax-Bold"/>
          <w:bCs/>
          <w:sz w:val="20"/>
          <w:szCs w:val="20"/>
        </w:rPr>
        <w:t>Ong S, Nakase J, Moran GJ, et al. Antibiotic use for emergency department patients with upper respiratory infections: prescribing practices, patient expectations, and patient satisfaction. Ann Emerg Med. 2007 Sep;50(3):213-20. [PMID: 17467120]</w:t>
      </w:r>
    </w:p>
    <w:p w14:paraId="3D435BE1" w14:textId="4E61CFC3" w:rsidR="008B5810" w:rsidRPr="00C24603" w:rsidRDefault="00C24603" w:rsidP="00C24603">
      <w:pPr>
        <w:pStyle w:val="ListParagraph"/>
        <w:numPr>
          <w:ilvl w:val="0"/>
          <w:numId w:val="24"/>
        </w:numPr>
        <w:rPr>
          <w:rFonts w:cs="Syntax-Bold"/>
          <w:bCs/>
          <w:sz w:val="20"/>
          <w:szCs w:val="20"/>
        </w:rPr>
      </w:pPr>
      <w:r w:rsidRPr="00C24603">
        <w:rPr>
          <w:rFonts w:cs="Syntax-Bold"/>
          <w:bCs/>
          <w:sz w:val="20"/>
          <w:szCs w:val="20"/>
        </w:rPr>
        <w:t>Wilson W, Taubert KA, Gewitz M, et al. Prevention of infective endocarditis: guidelines from the American Heart Association: a guideline from the American Heart Association Rheumatic Fever, Endocarditis, and Kawasaki Disease Committee, Council on Cardiovascular Disease in the Young, and the Council on Clinical Cardiology, Council on Cardiovascular Surgery and Anesthesia, and the Quality of Care and Outcomes Research Interdisciplinary Working Group. Circulation. 2007 Oct 9;116(15):1736-54. [PMID: 17446442]</w:t>
      </w:r>
    </w:p>
    <w:p w14:paraId="643F9CEA" w14:textId="294F3686" w:rsidR="008B5810" w:rsidRPr="008B5810" w:rsidRDefault="00C24603" w:rsidP="00C24603">
      <w:pPr>
        <w:pStyle w:val="ListParagraph"/>
        <w:numPr>
          <w:ilvl w:val="0"/>
          <w:numId w:val="24"/>
        </w:numPr>
        <w:rPr>
          <w:rFonts w:cs="Syntax-Bold"/>
          <w:bCs/>
          <w:sz w:val="20"/>
          <w:szCs w:val="20"/>
        </w:rPr>
      </w:pPr>
      <w:r w:rsidRPr="00C24603">
        <w:rPr>
          <w:rFonts w:cs="Syntax-Bold"/>
          <w:bCs/>
          <w:sz w:val="20"/>
          <w:szCs w:val="20"/>
        </w:rPr>
        <w:t>Jin R, Zelinka ES, McDonald J, et al. Effect of hospital culture on blood transfusion in cardiac procedures. Ann Thorac Surg. 2013 Apr;95(4):1269-74. [PMID: 23040823]</w:t>
      </w:r>
    </w:p>
    <w:p w14:paraId="15C937CD" w14:textId="1924DF8F" w:rsidR="008B5810" w:rsidRPr="00C24603" w:rsidRDefault="00C24603" w:rsidP="00C24603">
      <w:pPr>
        <w:pStyle w:val="ListParagraph"/>
        <w:numPr>
          <w:ilvl w:val="0"/>
          <w:numId w:val="24"/>
        </w:numPr>
        <w:rPr>
          <w:rFonts w:cs="Syntax-Bold"/>
          <w:bCs/>
          <w:sz w:val="20"/>
          <w:szCs w:val="20"/>
        </w:rPr>
      </w:pPr>
      <w:r w:rsidRPr="00C24603">
        <w:rPr>
          <w:rFonts w:cs="Syntax-Bold"/>
          <w:bCs/>
          <w:sz w:val="20"/>
          <w:szCs w:val="20"/>
        </w:rPr>
        <w:t>Liao JM, Thomas EJ, Bell SK. Speaking up about the dangers of the hidden curriculum. Health Aff (Millwood). 2014 Jan;33(1):168-71. [PMID: 24395948]</w:t>
      </w:r>
    </w:p>
    <w:p w14:paraId="3E36BFB2" w14:textId="77777777" w:rsidR="00881565" w:rsidRPr="00881565" w:rsidRDefault="00881565" w:rsidP="00881565">
      <w:pPr>
        <w:pStyle w:val="ListParagraph"/>
        <w:numPr>
          <w:ilvl w:val="0"/>
          <w:numId w:val="24"/>
        </w:numPr>
        <w:rPr>
          <w:rFonts w:cs="Syntax-Bold"/>
          <w:bCs/>
          <w:sz w:val="20"/>
          <w:szCs w:val="20"/>
        </w:rPr>
      </w:pPr>
      <w:r w:rsidRPr="00881565">
        <w:rPr>
          <w:rFonts w:cs="Syntax-Bold"/>
          <w:bCs/>
          <w:sz w:val="20"/>
          <w:szCs w:val="20"/>
        </w:rPr>
        <w:t>Lee T, Pappius EM, Goldman L. Impact of inter-physician communication on the effectiveness of medical consultations. Am J Med. 1983 Jan;74(1):106-12. [PMID: 6849320]</w:t>
      </w:r>
    </w:p>
    <w:p w14:paraId="01BAAE52" w14:textId="3DFA1650" w:rsidR="008B5810" w:rsidRPr="008B5810" w:rsidRDefault="008B5810" w:rsidP="00881565">
      <w:pPr>
        <w:pStyle w:val="ListParagraph"/>
        <w:ind w:left="1440"/>
        <w:rPr>
          <w:rFonts w:cs="Syntax-Bold"/>
          <w:bCs/>
          <w:sz w:val="20"/>
          <w:szCs w:val="20"/>
        </w:rPr>
      </w:pPr>
    </w:p>
    <w:p w14:paraId="6A80E868" w14:textId="77777777" w:rsidR="00F069F8" w:rsidRPr="00F069F8" w:rsidRDefault="00F069F8" w:rsidP="00F069F8">
      <w:pPr>
        <w:rPr>
          <w:b/>
          <w:sz w:val="20"/>
          <w:szCs w:val="20"/>
        </w:rPr>
      </w:pPr>
    </w:p>
    <w:p w14:paraId="12332DB4" w14:textId="77777777" w:rsidR="00024435" w:rsidRDefault="00024435">
      <w:pPr>
        <w:rPr>
          <w:b/>
        </w:rPr>
      </w:pPr>
      <w:r>
        <w:rPr>
          <w:b/>
        </w:rPr>
        <w:br w:type="page"/>
      </w:r>
    </w:p>
    <w:p w14:paraId="7D201094" w14:textId="77777777" w:rsidR="00F069F8" w:rsidRPr="00F069F8" w:rsidRDefault="00F069F8" w:rsidP="00F069F8">
      <w:pPr>
        <w:rPr>
          <w:b/>
        </w:rPr>
      </w:pPr>
      <w:r w:rsidRPr="00F069F8">
        <w:rPr>
          <w:b/>
        </w:rPr>
        <w:lastRenderedPageBreak/>
        <w:t>Presentation #5 Instructions</w:t>
      </w:r>
    </w:p>
    <w:p w14:paraId="738355CC" w14:textId="77777777" w:rsidR="00F069F8" w:rsidRPr="00F069F8" w:rsidRDefault="00F069F8" w:rsidP="00F069F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470"/>
        <w:gridCol w:w="1620"/>
      </w:tblGrid>
      <w:tr w:rsidR="00F069F8" w:rsidRPr="00290FA6" w14:paraId="1EE85C8E" w14:textId="77777777" w:rsidTr="734107B9">
        <w:tc>
          <w:tcPr>
            <w:tcW w:w="648" w:type="dxa"/>
            <w:vAlign w:val="center"/>
          </w:tcPr>
          <w:p w14:paraId="21D8C244" w14:textId="77777777" w:rsidR="00F069F8" w:rsidRPr="00F069F8" w:rsidRDefault="00F069F8" w:rsidP="008B5810">
            <w:pPr>
              <w:jc w:val="center"/>
            </w:pPr>
            <w:r w:rsidRPr="00F069F8">
              <w:t>Step</w:t>
            </w:r>
          </w:p>
        </w:tc>
        <w:tc>
          <w:tcPr>
            <w:tcW w:w="7470" w:type="dxa"/>
            <w:vAlign w:val="center"/>
          </w:tcPr>
          <w:p w14:paraId="278CBA70" w14:textId="77777777" w:rsidR="00F069F8" w:rsidRPr="00F069F8" w:rsidRDefault="00F069F8" w:rsidP="008B5810">
            <w:r w:rsidRPr="00F069F8">
              <w:t>Description</w:t>
            </w:r>
          </w:p>
        </w:tc>
        <w:tc>
          <w:tcPr>
            <w:tcW w:w="1620" w:type="dxa"/>
          </w:tcPr>
          <w:p w14:paraId="56B2838F" w14:textId="77777777" w:rsidR="00F069F8" w:rsidRPr="00F069F8" w:rsidRDefault="00F069F8" w:rsidP="008B5810">
            <w:pPr>
              <w:jc w:val="center"/>
            </w:pPr>
            <w:r w:rsidRPr="00F069F8">
              <w:t>Estimated Time</w:t>
            </w:r>
          </w:p>
        </w:tc>
      </w:tr>
      <w:tr w:rsidR="00F069F8" w:rsidRPr="00290FA6" w14:paraId="2FC5CDB4" w14:textId="77777777" w:rsidTr="734107B9">
        <w:tc>
          <w:tcPr>
            <w:tcW w:w="648" w:type="dxa"/>
          </w:tcPr>
          <w:p w14:paraId="3FA2DF24" w14:textId="77777777" w:rsidR="00F069F8" w:rsidRPr="00F069F8" w:rsidRDefault="00F069F8" w:rsidP="008B5810">
            <w:pPr>
              <w:jc w:val="center"/>
            </w:pPr>
            <w:r w:rsidRPr="00F069F8">
              <w:t>1</w:t>
            </w:r>
          </w:p>
        </w:tc>
        <w:tc>
          <w:tcPr>
            <w:tcW w:w="7470" w:type="dxa"/>
          </w:tcPr>
          <w:p w14:paraId="6698BE2D" w14:textId="475422B2" w:rsidR="00F069F8" w:rsidRPr="00F069F8" w:rsidRDefault="00F069F8" w:rsidP="008B5810">
            <w:r w:rsidRPr="00F069F8">
              <w:t xml:space="preserve">Welcome </w:t>
            </w:r>
            <w:r w:rsidR="00815072">
              <w:t>participants; introduce speaker;</w:t>
            </w:r>
            <w:r w:rsidRPr="00F069F8">
              <w:t xml:space="preserve"> identify the reason for the discussion</w:t>
            </w:r>
            <w:r w:rsidR="00815072">
              <w:t>,</w:t>
            </w:r>
            <w:r w:rsidRPr="00F069F8">
              <w:t xml:space="preserve"> including:</w:t>
            </w:r>
          </w:p>
          <w:p w14:paraId="4FBDF291" w14:textId="77777777" w:rsidR="00F069F8" w:rsidRPr="00F069F8" w:rsidRDefault="00F069F8" w:rsidP="00F069F8">
            <w:pPr>
              <w:pStyle w:val="ListParagraph"/>
              <w:numPr>
                <w:ilvl w:val="0"/>
                <w:numId w:val="14"/>
              </w:numPr>
            </w:pPr>
            <w:r w:rsidRPr="00F069F8">
              <w:t>The importance of understanding barriers to high value care in order to overcome them</w:t>
            </w:r>
          </w:p>
          <w:p w14:paraId="24D11B28" w14:textId="77777777" w:rsidR="008B5810" w:rsidRDefault="00F069F8" w:rsidP="00F069F8">
            <w:pPr>
              <w:pStyle w:val="ListParagraph"/>
              <w:numPr>
                <w:ilvl w:val="0"/>
                <w:numId w:val="14"/>
              </w:numPr>
            </w:pPr>
            <w:r w:rsidRPr="00F069F8">
              <w:t>Explain the learning objectives on slide 2</w:t>
            </w:r>
          </w:p>
          <w:p w14:paraId="04EA5AE5" w14:textId="4992D93F" w:rsidR="00F069F8" w:rsidRDefault="008B5810" w:rsidP="00F069F8">
            <w:pPr>
              <w:pStyle w:val="ListParagraph"/>
              <w:numPr>
                <w:ilvl w:val="0"/>
                <w:numId w:val="14"/>
              </w:numPr>
            </w:pPr>
            <w:r>
              <w:t>Briefly discuss the potential barriers listed on slide 3, and note that there are many barriers</w:t>
            </w:r>
            <w:r w:rsidR="00D32F53">
              <w:t>,</w:t>
            </w:r>
            <w:r>
              <w:t xml:space="preserve"> but in this talk</w:t>
            </w:r>
            <w:r w:rsidR="00D32F53">
              <w:t>,</w:t>
            </w:r>
            <w:r>
              <w:t xml:space="preserve"> we will </w:t>
            </w:r>
            <w:r w:rsidR="00D32F53">
              <w:t>focus</w:t>
            </w:r>
            <w:r>
              <w:t xml:space="preserve"> on the </w:t>
            </w:r>
            <w:r w:rsidR="00A5260D">
              <w:t>b</w:t>
            </w:r>
            <w:r w:rsidR="00D32F53">
              <w:t>arriers highlighted on slide 4</w:t>
            </w:r>
          </w:p>
          <w:p w14:paraId="0385E3F5" w14:textId="77777777" w:rsidR="00024435" w:rsidRPr="00F069F8" w:rsidRDefault="00024435" w:rsidP="00024435">
            <w:pPr>
              <w:pStyle w:val="ListParagraph"/>
              <w:ind w:left="360"/>
            </w:pPr>
          </w:p>
        </w:tc>
        <w:tc>
          <w:tcPr>
            <w:tcW w:w="1620" w:type="dxa"/>
          </w:tcPr>
          <w:p w14:paraId="47DA9A1B" w14:textId="77777777" w:rsidR="00F069F8" w:rsidRPr="00F069F8" w:rsidRDefault="00F069F8" w:rsidP="008B5810">
            <w:pPr>
              <w:jc w:val="center"/>
            </w:pPr>
            <w:r w:rsidRPr="00F069F8">
              <w:t>5 minutes</w:t>
            </w:r>
          </w:p>
        </w:tc>
      </w:tr>
      <w:tr w:rsidR="00F069F8" w:rsidRPr="00290FA6" w14:paraId="6E2B3615" w14:textId="77777777" w:rsidTr="734107B9">
        <w:tc>
          <w:tcPr>
            <w:tcW w:w="648" w:type="dxa"/>
          </w:tcPr>
          <w:p w14:paraId="05837D64" w14:textId="77777777" w:rsidR="00F069F8" w:rsidRPr="00F069F8" w:rsidRDefault="00F069F8" w:rsidP="008B5810">
            <w:pPr>
              <w:jc w:val="center"/>
            </w:pPr>
            <w:r w:rsidRPr="00F069F8">
              <w:t>2</w:t>
            </w:r>
          </w:p>
        </w:tc>
        <w:tc>
          <w:tcPr>
            <w:tcW w:w="7470" w:type="dxa"/>
          </w:tcPr>
          <w:p w14:paraId="6E17B748" w14:textId="2E914E00" w:rsidR="00F069F8" w:rsidRPr="00F069F8" w:rsidRDefault="000132DD" w:rsidP="008B5810">
            <w:r>
              <w:t xml:space="preserve">Barrier 1: </w:t>
            </w:r>
            <w:r w:rsidR="00A5260D">
              <w:t>Defensive Medicine</w:t>
            </w:r>
          </w:p>
          <w:p w14:paraId="2905F269" w14:textId="59D3DD11" w:rsidR="00F069F8" w:rsidRPr="00F069F8" w:rsidRDefault="00247A35" w:rsidP="00A5260D">
            <w:pPr>
              <w:pStyle w:val="ListParagraph"/>
              <w:numPr>
                <w:ilvl w:val="0"/>
                <w:numId w:val="14"/>
              </w:numPr>
            </w:pPr>
            <w:r>
              <w:t>Slide</w:t>
            </w:r>
            <w:r w:rsidR="002B5E69">
              <w:t>s</w:t>
            </w:r>
            <w:r>
              <w:t xml:space="preserve"> </w:t>
            </w:r>
            <w:r w:rsidR="00463ACF">
              <w:t>5-6: E</w:t>
            </w:r>
            <w:r w:rsidR="00A5260D">
              <w:t xml:space="preserve">xplain what defensive medicine is and its prevalence. Use data to </w:t>
            </w:r>
            <w:r w:rsidR="00A5260D" w:rsidRPr="00E03658">
              <w:rPr>
                <w:b/>
              </w:rPr>
              <w:t>dispel the myth that ordering more tests protects doctors from lawsuits</w:t>
            </w:r>
            <w:r w:rsidR="00A5260D">
              <w:t>.</w:t>
            </w:r>
          </w:p>
          <w:p w14:paraId="78CADD9D" w14:textId="494FC3DB" w:rsidR="00E03658" w:rsidRDefault="00F069F8" w:rsidP="00E03658">
            <w:pPr>
              <w:pStyle w:val="ListParagraph"/>
              <w:numPr>
                <w:ilvl w:val="0"/>
                <w:numId w:val="14"/>
              </w:numPr>
            </w:pPr>
            <w:r w:rsidRPr="00F069F8">
              <w:t>Slide</w:t>
            </w:r>
            <w:r w:rsidR="00247A35">
              <w:t xml:space="preserve"> </w:t>
            </w:r>
            <w:r w:rsidR="00463ACF">
              <w:t>7:</w:t>
            </w:r>
            <w:r w:rsidR="00A5260D">
              <w:t xml:space="preserve"> Emphasize that open communication is key to avoiding malpractice. Also go over the various pilot programs and data that support this no</w:t>
            </w:r>
            <w:r w:rsidR="00E03658">
              <w:t>tion</w:t>
            </w:r>
            <w:r w:rsidR="00463ACF">
              <w:t>,</w:t>
            </w:r>
            <w:r w:rsidR="00E03658">
              <w:t xml:space="preserve"> including the</w:t>
            </w:r>
            <w:r w:rsidR="00A5260D">
              <w:t xml:space="preserve"> University of Michigan and VA in Lexington, KY</w:t>
            </w:r>
            <w:r w:rsidR="00463ACF">
              <w:t>,</w:t>
            </w:r>
            <w:r w:rsidR="00A5260D">
              <w:t xml:space="preserve"> which found that lawsuits </w:t>
            </w:r>
            <w:r w:rsidR="00463ACF">
              <w:t>declined</w:t>
            </w:r>
            <w:r w:rsidR="00A5260D">
              <w:t xml:space="preserve"> after </w:t>
            </w:r>
            <w:r w:rsidR="00E03658">
              <w:t>they</w:t>
            </w:r>
            <w:r w:rsidR="00A5260D">
              <w:t xml:space="preserve"> implemented a</w:t>
            </w:r>
            <w:r w:rsidR="00E03658">
              <w:t>n open</w:t>
            </w:r>
            <w:r w:rsidR="00A5260D">
              <w:t xml:space="preserve"> disclosure policy which </w:t>
            </w:r>
            <w:r w:rsidR="00E03658">
              <w:t>mandated</w:t>
            </w:r>
            <w:r w:rsidR="00A5260D">
              <w:t xml:space="preserve"> an open discussion with the family following </w:t>
            </w:r>
            <w:r w:rsidR="00E03658">
              <w:t>a mistake</w:t>
            </w:r>
            <w:r w:rsidR="00A5260D">
              <w:t xml:space="preserve">.  More information can be found at </w:t>
            </w:r>
            <w:hyperlink r:id="rId8" w:anchor="summary" w:history="1">
              <w:r w:rsidR="00A5260D" w:rsidRPr="009041C2">
                <w:rPr>
                  <w:rStyle w:val="Hyperlink"/>
                </w:rPr>
                <w:t>http://www.uofmhealth.org/michigan-model-medical-malpractice-and-patient-safety-umhs#summary</w:t>
              </w:r>
            </w:hyperlink>
            <w:r w:rsidR="002B5E69">
              <w:t>.</w:t>
            </w:r>
            <w:r w:rsidR="00A5260D">
              <w:t xml:space="preserve"> Can discuss this model more extensively if time allows.</w:t>
            </w:r>
          </w:p>
          <w:p w14:paraId="12E86589" w14:textId="77777777" w:rsidR="00E03658" w:rsidRDefault="00E03658" w:rsidP="00E03658"/>
          <w:p w14:paraId="2C8DC4B8" w14:textId="7300F8F8" w:rsidR="00F069F8" w:rsidRDefault="00E03658" w:rsidP="00E03658">
            <w:pPr>
              <w:rPr>
                <w:i/>
              </w:rPr>
            </w:pPr>
            <w:r w:rsidRPr="00E03658">
              <w:rPr>
                <w:i/>
              </w:rPr>
              <w:t>Transition to Case 1 with something along the lines of “Now that we’ve discussed the first barrier, let’s talk about the next one</w:t>
            </w:r>
            <w:r w:rsidR="00463ACF">
              <w:rPr>
                <w:i/>
              </w:rPr>
              <w:t>, '</w:t>
            </w:r>
            <w:r w:rsidRPr="00E03658">
              <w:rPr>
                <w:i/>
              </w:rPr>
              <w:t>Responding to Patient Requests</w:t>
            </w:r>
            <w:r w:rsidR="00463ACF">
              <w:rPr>
                <w:i/>
              </w:rPr>
              <w:t>.'</w:t>
            </w:r>
            <w:r w:rsidRPr="00E03658">
              <w:rPr>
                <w:i/>
              </w:rPr>
              <w:t>”</w:t>
            </w:r>
          </w:p>
          <w:p w14:paraId="6581BE37" w14:textId="77777777" w:rsidR="00024435" w:rsidRPr="00E03658" w:rsidRDefault="00024435" w:rsidP="00E03658">
            <w:pPr>
              <w:rPr>
                <w:i/>
              </w:rPr>
            </w:pPr>
          </w:p>
        </w:tc>
        <w:tc>
          <w:tcPr>
            <w:tcW w:w="1620" w:type="dxa"/>
          </w:tcPr>
          <w:p w14:paraId="5D587048" w14:textId="77777777" w:rsidR="00F069F8" w:rsidRPr="00F069F8" w:rsidRDefault="00F44827" w:rsidP="008B5810">
            <w:pPr>
              <w:jc w:val="center"/>
            </w:pPr>
            <w:r>
              <w:t>5</w:t>
            </w:r>
            <w:r w:rsidR="00F069F8" w:rsidRPr="00F069F8">
              <w:t xml:space="preserve"> minutes</w:t>
            </w:r>
          </w:p>
        </w:tc>
      </w:tr>
      <w:tr w:rsidR="00F069F8" w:rsidRPr="00290FA6" w14:paraId="39125AF9" w14:textId="77777777" w:rsidTr="734107B9">
        <w:tc>
          <w:tcPr>
            <w:tcW w:w="648" w:type="dxa"/>
          </w:tcPr>
          <w:p w14:paraId="2EE9E113" w14:textId="77777777" w:rsidR="00F069F8" w:rsidRPr="00F069F8" w:rsidRDefault="00F069F8" w:rsidP="008B5810">
            <w:pPr>
              <w:jc w:val="center"/>
            </w:pPr>
            <w:r w:rsidRPr="00F069F8">
              <w:t>3</w:t>
            </w:r>
          </w:p>
        </w:tc>
        <w:tc>
          <w:tcPr>
            <w:tcW w:w="7470" w:type="dxa"/>
          </w:tcPr>
          <w:p w14:paraId="48E29B38" w14:textId="77073037" w:rsidR="00F069F8" w:rsidRPr="00F069F8" w:rsidRDefault="00463ACF" w:rsidP="008B5810">
            <w:r>
              <w:t xml:space="preserve">Case 1: </w:t>
            </w:r>
            <w:r w:rsidR="00522189">
              <w:t>Respo</w:t>
            </w:r>
            <w:r w:rsidR="00A5260D">
              <w:t>n</w:t>
            </w:r>
            <w:r w:rsidR="00522189">
              <w:t>d</w:t>
            </w:r>
            <w:r w:rsidR="00A5260D">
              <w:t xml:space="preserve">ing to patient requests for </w:t>
            </w:r>
            <w:r w:rsidR="00522189">
              <w:t>testing</w:t>
            </w:r>
          </w:p>
          <w:p w14:paraId="760504D3" w14:textId="113FDB7C" w:rsidR="00F069F8" w:rsidRPr="00F069F8" w:rsidRDefault="002B5E69" w:rsidP="00F069F8">
            <w:pPr>
              <w:pStyle w:val="ListParagraph"/>
              <w:numPr>
                <w:ilvl w:val="0"/>
                <w:numId w:val="2"/>
              </w:numPr>
            </w:pPr>
            <w:r>
              <w:t xml:space="preserve">Slides </w:t>
            </w:r>
            <w:r w:rsidR="00A5260D">
              <w:t>8</w:t>
            </w:r>
            <w:r w:rsidR="006F44A5">
              <w:t>-9</w:t>
            </w:r>
            <w:r w:rsidR="00463ACF">
              <w:t>:</w:t>
            </w:r>
            <w:r w:rsidR="00F069F8" w:rsidRPr="00F069F8">
              <w:t xml:space="preserve"> </w:t>
            </w:r>
            <w:r w:rsidR="00024435">
              <w:t>Present</w:t>
            </w:r>
            <w:r w:rsidR="006F44A5">
              <w:t xml:space="preserve"> the case of a </w:t>
            </w:r>
            <w:r w:rsidR="00463ACF">
              <w:t>patient requesting a DEXA scan.</w:t>
            </w:r>
            <w:r w:rsidR="006F44A5">
              <w:t xml:space="preserve"> Discuss as a large group whether they would order a scan and whether it would benefit the patient.</w:t>
            </w:r>
            <w:r w:rsidR="00F069F8" w:rsidRPr="00F069F8">
              <w:t xml:space="preserve"> </w:t>
            </w:r>
          </w:p>
          <w:p w14:paraId="189A588F" w14:textId="6B69E829" w:rsidR="00522189" w:rsidRDefault="002B5E69" w:rsidP="00F069F8">
            <w:pPr>
              <w:pStyle w:val="ListParagraph"/>
              <w:numPr>
                <w:ilvl w:val="0"/>
                <w:numId w:val="2"/>
              </w:numPr>
            </w:pPr>
            <w:r>
              <w:t xml:space="preserve">Slides </w:t>
            </w:r>
            <w:r w:rsidR="00F069F8" w:rsidRPr="00F069F8">
              <w:t>10</w:t>
            </w:r>
            <w:r w:rsidR="006F44A5">
              <w:t>-11</w:t>
            </w:r>
            <w:r w:rsidR="00463ACF">
              <w:t>:</w:t>
            </w:r>
            <w:r w:rsidR="00F069F8" w:rsidRPr="00F069F8">
              <w:t xml:space="preserve"> Discuss </w:t>
            </w:r>
            <w:r w:rsidR="006F44A5">
              <w:t>the recommendations of the Choosing Wisely committee that recommends DEXA scans not be ordered for patients unless they meet certa</w:t>
            </w:r>
            <w:r w:rsidR="00463ACF">
              <w:t>in age or risk factor criteria.</w:t>
            </w:r>
            <w:r w:rsidR="006F44A5">
              <w:t xml:space="preserve"> Use the data on slide 11 to show that physician practice does not always line up with </w:t>
            </w:r>
            <w:r w:rsidR="00024435">
              <w:t xml:space="preserve">established </w:t>
            </w:r>
            <w:r w:rsidR="006F44A5">
              <w:t>guidelines and recommendations</w:t>
            </w:r>
            <w:r w:rsidR="00024435">
              <w:t>.</w:t>
            </w:r>
          </w:p>
          <w:p w14:paraId="69EC9CA9" w14:textId="6628F2E1" w:rsidR="00F069F8" w:rsidRPr="00F069F8" w:rsidRDefault="002B5E69" w:rsidP="00F069F8">
            <w:pPr>
              <w:pStyle w:val="ListParagraph"/>
              <w:numPr>
                <w:ilvl w:val="0"/>
                <w:numId w:val="2"/>
              </w:numPr>
            </w:pPr>
            <w:r>
              <w:t xml:space="preserve">Slide </w:t>
            </w:r>
            <w:r w:rsidR="00463ACF">
              <w:t xml:space="preserve">12: </w:t>
            </w:r>
            <w:r w:rsidR="00522189" w:rsidRPr="00F069F8">
              <w:t>Discuss patient expectations and the process of talking to patients about not doing things. Emphasize that patients (unlike customers) are not a</w:t>
            </w:r>
            <w:r w:rsidR="00024435">
              <w:t xml:space="preserve">lways right and it is our </w:t>
            </w:r>
            <w:r w:rsidR="00522189" w:rsidRPr="00F069F8">
              <w:t xml:space="preserve">responsibility to explain to them why we are not giving them what they asked for. </w:t>
            </w:r>
            <w:r w:rsidR="00024435">
              <w:t>Clear communication is key.</w:t>
            </w:r>
          </w:p>
          <w:p w14:paraId="5772B5FB" w14:textId="00FC180A" w:rsidR="00F069F8" w:rsidRPr="00024435" w:rsidRDefault="00F069F8" w:rsidP="00024435">
            <w:pPr>
              <w:pStyle w:val="ListParagraph"/>
              <w:numPr>
                <w:ilvl w:val="0"/>
                <w:numId w:val="2"/>
              </w:numPr>
            </w:pPr>
            <w:r w:rsidRPr="00F069F8">
              <w:t>Sli</w:t>
            </w:r>
            <w:r w:rsidR="002B5E69">
              <w:t xml:space="preserve">des </w:t>
            </w:r>
            <w:r w:rsidR="00522189">
              <w:t>13-1</w:t>
            </w:r>
            <w:r w:rsidR="00024435">
              <w:t>4</w:t>
            </w:r>
            <w:r w:rsidR="00463ACF">
              <w:t>:</w:t>
            </w:r>
            <w:r w:rsidRPr="00F069F8">
              <w:t xml:space="preserve"> Ask the group </w:t>
            </w:r>
            <w:r w:rsidR="00024435">
              <w:t>to des</w:t>
            </w:r>
            <w:r w:rsidR="00C770D6">
              <w:t>cribe key principles of patient-</w:t>
            </w:r>
            <w:r w:rsidR="00024435">
              <w:t>centered communication.  Ask h</w:t>
            </w:r>
            <w:r w:rsidRPr="00F069F8">
              <w:t>ow they would discuss not doing tests with patients. Review the principles of patient-centered communication</w:t>
            </w:r>
            <w:r w:rsidR="00522189">
              <w:t xml:space="preserve"> </w:t>
            </w:r>
            <w:r w:rsidR="002A2723">
              <w:t xml:space="preserve">on slide </w:t>
            </w:r>
            <w:r w:rsidR="00024435">
              <w:t xml:space="preserve">14 </w:t>
            </w:r>
            <w:r w:rsidR="00522189">
              <w:t>and introduce the high value conversation guide</w:t>
            </w:r>
            <w:r w:rsidR="00E03658">
              <w:t xml:space="preserve">.  </w:t>
            </w:r>
            <w:r w:rsidR="00E03658" w:rsidRPr="00E03658">
              <w:rPr>
                <w:b/>
              </w:rPr>
              <w:t xml:space="preserve">Provide HVC conversation guide to the </w:t>
            </w:r>
            <w:r w:rsidR="00024435">
              <w:rPr>
                <w:b/>
              </w:rPr>
              <w:t>participants</w:t>
            </w:r>
            <w:r w:rsidR="00E03658" w:rsidRPr="00E03658">
              <w:rPr>
                <w:b/>
              </w:rPr>
              <w:t>.</w:t>
            </w:r>
          </w:p>
          <w:p w14:paraId="1F75203D" w14:textId="77777777" w:rsidR="00024435" w:rsidRDefault="00024435" w:rsidP="00024435">
            <w:pPr>
              <w:pStyle w:val="ListParagraph"/>
              <w:ind w:left="360"/>
            </w:pPr>
          </w:p>
          <w:p w14:paraId="4B65C694" w14:textId="77777777" w:rsidR="00024435" w:rsidRPr="00F069F8" w:rsidRDefault="00024435" w:rsidP="00024435">
            <w:pPr>
              <w:pStyle w:val="ListParagraph"/>
              <w:ind w:left="360"/>
            </w:pPr>
          </w:p>
        </w:tc>
        <w:tc>
          <w:tcPr>
            <w:tcW w:w="1620" w:type="dxa"/>
          </w:tcPr>
          <w:p w14:paraId="2FCB7F72" w14:textId="77777777" w:rsidR="00F069F8" w:rsidRPr="00F069F8" w:rsidRDefault="00F069F8" w:rsidP="00FF135E">
            <w:pPr>
              <w:jc w:val="center"/>
            </w:pPr>
            <w:r w:rsidRPr="00F069F8">
              <w:t>1</w:t>
            </w:r>
            <w:r w:rsidR="00FF135E">
              <w:t>0</w:t>
            </w:r>
            <w:r w:rsidRPr="00F069F8">
              <w:t xml:space="preserve"> minutes</w:t>
            </w:r>
          </w:p>
        </w:tc>
      </w:tr>
      <w:tr w:rsidR="00F069F8" w:rsidRPr="00290FA6" w14:paraId="25021835" w14:textId="77777777" w:rsidTr="734107B9">
        <w:tc>
          <w:tcPr>
            <w:tcW w:w="648" w:type="dxa"/>
          </w:tcPr>
          <w:p w14:paraId="0B34B100" w14:textId="77777777" w:rsidR="00F069F8" w:rsidRPr="00F069F8" w:rsidRDefault="00F069F8" w:rsidP="008B5810">
            <w:pPr>
              <w:jc w:val="center"/>
            </w:pPr>
            <w:r w:rsidRPr="00F069F8">
              <w:lastRenderedPageBreak/>
              <w:t>4</w:t>
            </w:r>
          </w:p>
        </w:tc>
        <w:tc>
          <w:tcPr>
            <w:tcW w:w="7470" w:type="dxa"/>
          </w:tcPr>
          <w:p w14:paraId="643C3F14" w14:textId="30630B5E" w:rsidR="00F069F8" w:rsidRPr="00F069F8" w:rsidRDefault="00EA518B" w:rsidP="008B5810">
            <w:r>
              <w:t xml:space="preserve">Case 2: </w:t>
            </w:r>
            <w:r w:rsidR="00522189">
              <w:t>Responding to patient request for treatment</w:t>
            </w:r>
          </w:p>
          <w:p w14:paraId="5A591AB3" w14:textId="58BFA855" w:rsidR="00F069F8" w:rsidRPr="00F069F8" w:rsidRDefault="002A2723" w:rsidP="00F069F8">
            <w:pPr>
              <w:pStyle w:val="ListParagraph"/>
              <w:numPr>
                <w:ilvl w:val="0"/>
                <w:numId w:val="21"/>
              </w:numPr>
            </w:pPr>
            <w:r>
              <w:t xml:space="preserve">Slides </w:t>
            </w:r>
            <w:r w:rsidR="00522189">
              <w:t>1</w:t>
            </w:r>
            <w:r w:rsidR="00024435">
              <w:t>5-16</w:t>
            </w:r>
            <w:r w:rsidR="00EA518B">
              <w:t>:</w:t>
            </w:r>
            <w:r w:rsidR="00F069F8" w:rsidRPr="00F069F8">
              <w:t xml:space="preserve"> Present the case and emphasize the conflict between what the patient wants and what you think is medically indicated</w:t>
            </w:r>
            <w:r w:rsidR="00EA518B">
              <w:t>.</w:t>
            </w:r>
          </w:p>
          <w:p w14:paraId="6CB09F91" w14:textId="46C1B8ED" w:rsidR="00F069F8" w:rsidRPr="00F069F8" w:rsidRDefault="002A2723" w:rsidP="00F069F8">
            <w:pPr>
              <w:pStyle w:val="ListParagraph"/>
              <w:numPr>
                <w:ilvl w:val="0"/>
                <w:numId w:val="21"/>
              </w:numPr>
            </w:pPr>
            <w:r>
              <w:t xml:space="preserve">Slide </w:t>
            </w:r>
            <w:r w:rsidR="00522189">
              <w:t>1</w:t>
            </w:r>
            <w:r w:rsidR="00024435">
              <w:t>7</w:t>
            </w:r>
            <w:r w:rsidR="00EA518B">
              <w:t>:</w:t>
            </w:r>
            <w:r w:rsidR="00F069F8" w:rsidRPr="00F069F8">
              <w:t xml:space="preserve"> Divide participants into pairs or small groups to answer the questions and practice role-playing a discussion with this patient about her treatment plan.</w:t>
            </w:r>
            <w:r w:rsidR="00522189">
              <w:t xml:space="preserve">  </w:t>
            </w:r>
            <w:r w:rsidR="00522189" w:rsidRPr="00E03658">
              <w:rPr>
                <w:b/>
              </w:rPr>
              <w:t>Focus on the use of the high value conversation guide for discussion and role playing.</w:t>
            </w:r>
          </w:p>
          <w:p w14:paraId="78B82785" w14:textId="06AFB0C6" w:rsidR="00F069F8" w:rsidRDefault="002A2723" w:rsidP="00F44827">
            <w:pPr>
              <w:pStyle w:val="ListParagraph"/>
              <w:numPr>
                <w:ilvl w:val="0"/>
                <w:numId w:val="21"/>
              </w:numPr>
            </w:pPr>
            <w:r>
              <w:t xml:space="preserve">Slide </w:t>
            </w:r>
            <w:r w:rsidR="00EA518B">
              <w:t>18:</w:t>
            </w:r>
            <w:r w:rsidR="00F069F8" w:rsidRPr="00F069F8">
              <w:t xml:space="preserve"> Have groups vote on what they decide</w:t>
            </w:r>
            <w:r w:rsidR="00F44827">
              <w:t xml:space="preserve">d to do. Highlight why option A </w:t>
            </w:r>
            <w:r w:rsidR="00F069F8" w:rsidRPr="00F069F8">
              <w:t>is not a good compromise: risk of potential harms for the patient (</w:t>
            </w:r>
            <w:r w:rsidR="00F069F8" w:rsidRPr="00EA518B">
              <w:rPr>
                <w:i/>
              </w:rPr>
              <w:t>C. difficile</w:t>
            </w:r>
            <w:r w:rsidR="00F069F8" w:rsidRPr="00F069F8">
              <w:t>, allergic reaction) and for society (antibiotic resistance)</w:t>
            </w:r>
            <w:r w:rsidR="00F44827">
              <w:t>.</w:t>
            </w:r>
          </w:p>
          <w:p w14:paraId="37A015C6" w14:textId="77777777" w:rsidR="00024435" w:rsidRPr="00F069F8" w:rsidRDefault="00024435" w:rsidP="00024435">
            <w:pPr>
              <w:pStyle w:val="ListParagraph"/>
              <w:ind w:left="360"/>
            </w:pPr>
          </w:p>
        </w:tc>
        <w:tc>
          <w:tcPr>
            <w:tcW w:w="1620" w:type="dxa"/>
          </w:tcPr>
          <w:p w14:paraId="108C076F" w14:textId="77777777" w:rsidR="00F069F8" w:rsidRPr="00F069F8" w:rsidRDefault="00F44827" w:rsidP="008B5810">
            <w:pPr>
              <w:jc w:val="center"/>
            </w:pPr>
            <w:r>
              <w:t>15</w:t>
            </w:r>
            <w:r w:rsidR="00F069F8" w:rsidRPr="00F069F8">
              <w:t xml:space="preserve"> minutes</w:t>
            </w:r>
          </w:p>
        </w:tc>
      </w:tr>
      <w:tr w:rsidR="00F069F8" w:rsidRPr="00290FA6" w14:paraId="509D5EA2" w14:textId="77777777" w:rsidTr="734107B9">
        <w:tc>
          <w:tcPr>
            <w:tcW w:w="648" w:type="dxa"/>
          </w:tcPr>
          <w:p w14:paraId="7EBEF3FE" w14:textId="77777777" w:rsidR="00F069F8" w:rsidRPr="00F069F8" w:rsidRDefault="00F069F8" w:rsidP="008B5810">
            <w:pPr>
              <w:jc w:val="center"/>
            </w:pPr>
            <w:r w:rsidRPr="00F069F8">
              <w:t>5</w:t>
            </w:r>
          </w:p>
        </w:tc>
        <w:tc>
          <w:tcPr>
            <w:tcW w:w="7470" w:type="dxa"/>
          </w:tcPr>
          <w:p w14:paraId="4A3E348E" w14:textId="68E6EBFB" w:rsidR="00F44827" w:rsidRDefault="00EA518B" w:rsidP="00F44827">
            <w:pPr>
              <w:pStyle w:val="ListParagraph"/>
              <w:ind w:left="0"/>
            </w:pPr>
            <w:r>
              <w:t xml:space="preserve">Case 3: </w:t>
            </w:r>
            <w:r w:rsidR="00F44827">
              <w:t>Local Culture</w:t>
            </w:r>
          </w:p>
          <w:p w14:paraId="5DE52F2F" w14:textId="095690A1" w:rsidR="00F44827" w:rsidRDefault="002A2723" w:rsidP="00F069F8">
            <w:pPr>
              <w:pStyle w:val="ListParagraph"/>
              <w:numPr>
                <w:ilvl w:val="0"/>
                <w:numId w:val="21"/>
              </w:numPr>
            </w:pPr>
            <w:r>
              <w:t xml:space="preserve">Slide </w:t>
            </w:r>
            <w:r w:rsidR="00F44827">
              <w:t>1</w:t>
            </w:r>
            <w:r w:rsidR="00EA518B">
              <w:t xml:space="preserve">9: </w:t>
            </w:r>
            <w:r w:rsidR="00024435">
              <w:t>Present the case.</w:t>
            </w:r>
          </w:p>
          <w:p w14:paraId="552988BA" w14:textId="1B28D80B" w:rsidR="00024435" w:rsidRDefault="002A2723" w:rsidP="00F069F8">
            <w:pPr>
              <w:pStyle w:val="ListParagraph"/>
              <w:numPr>
                <w:ilvl w:val="0"/>
                <w:numId w:val="21"/>
              </w:numPr>
            </w:pPr>
            <w:r>
              <w:t xml:space="preserve">Slide </w:t>
            </w:r>
            <w:r w:rsidR="00F44827">
              <w:t>2</w:t>
            </w:r>
            <w:r w:rsidR="00EA518B">
              <w:t xml:space="preserve">0: </w:t>
            </w:r>
            <w:r w:rsidR="00024435">
              <w:t xml:space="preserve">Ask the participants to think/pair/share about what went wrong and how they could better frame a question for the consultant.  Ask some groups to share.  </w:t>
            </w:r>
          </w:p>
          <w:p w14:paraId="18FC668A" w14:textId="114C8EAB" w:rsidR="00F44827" w:rsidRDefault="002A2723" w:rsidP="00F069F8">
            <w:pPr>
              <w:pStyle w:val="ListParagraph"/>
              <w:numPr>
                <w:ilvl w:val="0"/>
                <w:numId w:val="21"/>
              </w:numPr>
            </w:pPr>
            <w:r>
              <w:t xml:space="preserve">Slide </w:t>
            </w:r>
            <w:r w:rsidR="00EA518B">
              <w:t>21:</w:t>
            </w:r>
            <w:r w:rsidR="00024435">
              <w:t xml:space="preserve"> </w:t>
            </w:r>
            <w:r w:rsidR="00F44827">
              <w:t xml:space="preserve">Discuss how to frame a good consult question and the rationale for why this is important. </w:t>
            </w:r>
            <w:r>
              <w:t xml:space="preserve"> Go over slide </w:t>
            </w:r>
            <w:r w:rsidR="00F44827">
              <w:t>2</w:t>
            </w:r>
            <w:r w:rsidR="00024435">
              <w:t>2</w:t>
            </w:r>
            <w:r w:rsidR="00EA518B">
              <w:t xml:space="preserve"> for the follow-</w:t>
            </w:r>
            <w:r w:rsidR="00F44827">
              <w:t>up to Case 3.</w:t>
            </w:r>
          </w:p>
          <w:p w14:paraId="62738076" w14:textId="6D801F17" w:rsidR="00F44827" w:rsidRDefault="002A2723" w:rsidP="00F069F8">
            <w:pPr>
              <w:pStyle w:val="ListParagraph"/>
              <w:numPr>
                <w:ilvl w:val="0"/>
                <w:numId w:val="21"/>
              </w:numPr>
            </w:pPr>
            <w:r>
              <w:t xml:space="preserve">Slide </w:t>
            </w:r>
            <w:r w:rsidR="00EA518B">
              <w:t>23-25:</w:t>
            </w:r>
            <w:r w:rsidR="00F44827">
              <w:t xml:space="preserve"> </w:t>
            </w:r>
            <w:r w:rsidR="00024435">
              <w:t>Discuss</w:t>
            </w:r>
            <w:r w:rsidR="00F44827">
              <w:t xml:space="preserve"> local culture and the hidden curriculum of medical school and residency.  </w:t>
            </w:r>
            <w:r w:rsidR="00F44827" w:rsidRPr="00F069F8">
              <w:t>Have the residents identify the challenges they experience in asking for or receiving consults</w:t>
            </w:r>
            <w:r w:rsidR="00F44827">
              <w:t xml:space="preserve"> and what they believe to be the “local culture”</w:t>
            </w:r>
            <w:r w:rsidR="00F44827" w:rsidRPr="00F069F8">
              <w:t xml:space="preserve"> in the</w:t>
            </w:r>
            <w:r w:rsidR="00F44827">
              <w:t>ir</w:t>
            </w:r>
            <w:r w:rsidR="00F44827" w:rsidRPr="00F069F8">
              <w:t xml:space="preserve"> hospital</w:t>
            </w:r>
            <w:r w:rsidR="00024435">
              <w:t>.  Present some possible solutions.</w:t>
            </w:r>
          </w:p>
          <w:p w14:paraId="2BE3282C" w14:textId="79465058" w:rsidR="00F069F8" w:rsidRPr="00F069F8" w:rsidRDefault="00F069F8" w:rsidP="00F069F8">
            <w:pPr>
              <w:pStyle w:val="ListParagraph"/>
              <w:numPr>
                <w:ilvl w:val="0"/>
                <w:numId w:val="21"/>
              </w:numPr>
            </w:pPr>
            <w:r w:rsidRPr="00F069F8">
              <w:t>You may want to mention the AMA guidelines that state: “One physician is in char</w:t>
            </w:r>
            <w:r w:rsidR="00EA518B">
              <w:t xml:space="preserve">ge of a patient’s care and </w:t>
            </w:r>
            <w:r w:rsidRPr="00F069F8">
              <w:t>the attending physician has the overall responsibility for the patient’s treatment</w:t>
            </w:r>
            <w:r w:rsidR="00024435">
              <w:t>.”</w:t>
            </w:r>
            <w:r w:rsidRPr="00F069F8">
              <w:t xml:space="preserve"> Furthermore, consultants should only advise and make recommendations on problems that are within their scope of practice</w:t>
            </w:r>
            <w:r w:rsidR="00024435">
              <w:t>.</w:t>
            </w:r>
          </w:p>
          <w:p w14:paraId="37BFDE7D" w14:textId="77777777" w:rsidR="00F069F8" w:rsidRPr="00F069F8" w:rsidRDefault="00F069F8" w:rsidP="00F44827"/>
        </w:tc>
        <w:tc>
          <w:tcPr>
            <w:tcW w:w="1620" w:type="dxa"/>
          </w:tcPr>
          <w:p w14:paraId="7627E5A1" w14:textId="77777777" w:rsidR="00F069F8" w:rsidRPr="00F069F8" w:rsidRDefault="00F44827" w:rsidP="008B5810">
            <w:pPr>
              <w:jc w:val="center"/>
            </w:pPr>
            <w:r>
              <w:t>15</w:t>
            </w:r>
            <w:r w:rsidR="00F069F8" w:rsidRPr="00F069F8">
              <w:t xml:space="preserve"> minutes</w:t>
            </w:r>
          </w:p>
        </w:tc>
      </w:tr>
      <w:tr w:rsidR="00F069F8" w:rsidRPr="00290FA6" w14:paraId="6CC34563" w14:textId="77777777" w:rsidTr="734107B9">
        <w:tc>
          <w:tcPr>
            <w:tcW w:w="648" w:type="dxa"/>
          </w:tcPr>
          <w:p w14:paraId="08EFD0B4" w14:textId="77777777" w:rsidR="00F069F8" w:rsidRPr="00F069F8" w:rsidRDefault="00F44827" w:rsidP="008B5810">
            <w:pPr>
              <w:jc w:val="center"/>
            </w:pPr>
            <w:r>
              <w:t>6</w:t>
            </w:r>
          </w:p>
        </w:tc>
        <w:tc>
          <w:tcPr>
            <w:tcW w:w="7470" w:type="dxa"/>
          </w:tcPr>
          <w:p w14:paraId="579882DF" w14:textId="77777777" w:rsidR="00F069F8" w:rsidRPr="00F069F8" w:rsidRDefault="00F069F8" w:rsidP="008B5810">
            <w:r w:rsidRPr="00F069F8">
              <w:t>Wrap-up and summary</w:t>
            </w:r>
          </w:p>
          <w:p w14:paraId="65A568FB" w14:textId="77777777" w:rsidR="00F069F8" w:rsidRDefault="00F44827" w:rsidP="00F069F8">
            <w:pPr>
              <w:pStyle w:val="ListParagraph"/>
              <w:numPr>
                <w:ilvl w:val="0"/>
                <w:numId w:val="2"/>
              </w:numPr>
            </w:pPr>
            <w:r>
              <w:t xml:space="preserve">Review summary slide and go over final thoughts. </w:t>
            </w:r>
          </w:p>
          <w:p w14:paraId="179E525D" w14:textId="77777777" w:rsidR="00024435" w:rsidRPr="00F069F8" w:rsidRDefault="00024435" w:rsidP="00024435">
            <w:pPr>
              <w:pStyle w:val="ListParagraph"/>
              <w:ind w:left="360"/>
            </w:pPr>
          </w:p>
        </w:tc>
        <w:tc>
          <w:tcPr>
            <w:tcW w:w="1620" w:type="dxa"/>
          </w:tcPr>
          <w:p w14:paraId="162AE584" w14:textId="77777777" w:rsidR="00F069F8" w:rsidRPr="00F069F8" w:rsidRDefault="00F069F8" w:rsidP="008B5810">
            <w:pPr>
              <w:jc w:val="center"/>
            </w:pPr>
            <w:r w:rsidRPr="00F069F8">
              <w:t>5 minutes</w:t>
            </w:r>
          </w:p>
        </w:tc>
      </w:tr>
    </w:tbl>
    <w:p w14:paraId="65D60194" w14:textId="77777777" w:rsidR="00F069F8" w:rsidRPr="00F069F8" w:rsidRDefault="00F069F8" w:rsidP="00F069F8">
      <w:pPr>
        <w:rPr>
          <w:sz w:val="20"/>
          <w:szCs w:val="20"/>
        </w:rPr>
      </w:pPr>
    </w:p>
    <w:p w14:paraId="72EEE130" w14:textId="77777777" w:rsidR="00F069F8" w:rsidRPr="00F069F8" w:rsidRDefault="00F069F8" w:rsidP="00F069F8">
      <w:pPr>
        <w:rPr>
          <w:sz w:val="20"/>
          <w:szCs w:val="20"/>
        </w:rPr>
      </w:pPr>
    </w:p>
    <w:p w14:paraId="5EAA1F37" w14:textId="77777777" w:rsidR="00F069F8" w:rsidRPr="00F069F8" w:rsidRDefault="00F069F8" w:rsidP="00F069F8">
      <w:pPr>
        <w:rPr>
          <w:sz w:val="20"/>
          <w:szCs w:val="20"/>
        </w:rPr>
      </w:pPr>
    </w:p>
    <w:p w14:paraId="60AD7EBB" w14:textId="77777777" w:rsidR="00D46152" w:rsidRPr="00F44C55" w:rsidRDefault="00D46152" w:rsidP="00F069F8"/>
    <w:sectPr w:rsidR="00D46152" w:rsidRPr="00F44C55" w:rsidSect="00223A35">
      <w:headerReference w:type="even" r:id="rId9"/>
      <w:headerReference w:type="default" r:id="rId10"/>
      <w:footerReference w:type="even" r:id="rId11"/>
      <w:footerReference w:type="default" r:id="rId12"/>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7525" w14:textId="77777777" w:rsidR="00522189" w:rsidRDefault="00522189" w:rsidP="003D171D">
      <w:r>
        <w:separator/>
      </w:r>
    </w:p>
  </w:endnote>
  <w:endnote w:type="continuationSeparator" w:id="0">
    <w:p w14:paraId="55B6427A" w14:textId="77777777" w:rsidR="00522189" w:rsidRDefault="00522189"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ntax-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CBBF" w14:textId="77777777" w:rsidR="00522189" w:rsidRDefault="00996D41" w:rsidP="004A580B">
    <w:pPr>
      <w:pStyle w:val="Footer"/>
      <w:framePr w:wrap="around" w:vAnchor="text" w:hAnchor="margin" w:xAlign="center" w:y="1"/>
      <w:rPr>
        <w:rStyle w:val="PageNumber"/>
      </w:rPr>
    </w:pPr>
    <w:r>
      <w:rPr>
        <w:rStyle w:val="PageNumber"/>
      </w:rPr>
      <w:fldChar w:fldCharType="begin"/>
    </w:r>
    <w:r w:rsidR="00522189">
      <w:rPr>
        <w:rStyle w:val="PageNumber"/>
      </w:rPr>
      <w:instrText xml:space="preserve">PAGE  </w:instrText>
    </w:r>
    <w:r>
      <w:rPr>
        <w:rStyle w:val="PageNumber"/>
      </w:rPr>
      <w:fldChar w:fldCharType="end"/>
    </w:r>
  </w:p>
  <w:p w14:paraId="3CA5E91B" w14:textId="77777777" w:rsidR="00522189" w:rsidRDefault="00522189"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0832" w14:textId="77777777" w:rsidR="00522189" w:rsidRDefault="00996D41" w:rsidP="004A580B">
    <w:pPr>
      <w:pStyle w:val="Footer"/>
      <w:framePr w:wrap="around" w:vAnchor="text" w:hAnchor="page" w:x="5941" w:y="527"/>
      <w:rPr>
        <w:rStyle w:val="PageNumber"/>
      </w:rPr>
    </w:pPr>
    <w:r>
      <w:rPr>
        <w:rStyle w:val="PageNumber"/>
      </w:rPr>
      <w:fldChar w:fldCharType="begin"/>
    </w:r>
    <w:r w:rsidR="00522189">
      <w:rPr>
        <w:rStyle w:val="PageNumber"/>
      </w:rPr>
      <w:instrText xml:space="preserve">PAGE  </w:instrText>
    </w:r>
    <w:r>
      <w:rPr>
        <w:rStyle w:val="PageNumber"/>
      </w:rPr>
      <w:fldChar w:fldCharType="separate"/>
    </w:r>
    <w:r w:rsidR="008723C0">
      <w:rPr>
        <w:rStyle w:val="PageNumber"/>
        <w:noProof/>
      </w:rPr>
      <w:t>1</w:t>
    </w:r>
    <w:r>
      <w:rPr>
        <w:rStyle w:val="PageNumber"/>
      </w:rPr>
      <w:fldChar w:fldCharType="end"/>
    </w:r>
  </w:p>
  <w:p w14:paraId="3048D254" w14:textId="77777777" w:rsidR="00522189" w:rsidRDefault="00544195" w:rsidP="005A09B6">
    <w:pPr>
      <w:pStyle w:val="Footer"/>
      <w:tabs>
        <w:tab w:val="clear" w:pos="4680"/>
        <w:tab w:val="clear" w:pos="9360"/>
        <w:tab w:val="center" w:pos="4320"/>
        <w:tab w:val="right" w:pos="9900"/>
      </w:tabs>
      <w:spacing w:before="240"/>
      <w:ind w:left="-90"/>
    </w:pPr>
    <w:r>
      <w:rPr>
        <w:noProof/>
      </w:rPr>
      <mc:AlternateContent>
        <mc:Choice Requires="wps">
          <w:drawing>
            <wp:anchor distT="0" distB="0" distL="114300" distR="114300" simplePos="0" relativeHeight="251658752" behindDoc="0" locked="0" layoutInCell="1" allowOverlap="1" wp14:anchorId="272FF88B" wp14:editId="07777777">
              <wp:simplePos x="0" y="0"/>
              <wp:positionH relativeFrom="column">
                <wp:posOffset>-685800</wp:posOffset>
              </wp:positionH>
              <wp:positionV relativeFrom="paragraph">
                <wp:posOffset>-47625</wp:posOffset>
              </wp:positionV>
              <wp:extent cx="80010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BB252E6">
            <v:line id="Line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7365d" strokeweight="1pt"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v:fill o:detectmouseclick="t"/>
              <v:shadow opacity="22938f" offset="0"/>
            </v:line>
          </w:pict>
        </mc:Fallback>
      </mc:AlternateContent>
    </w:r>
    <w:r w:rsidR="00522189">
      <w:rPr>
        <w:rFonts w:ascii="Trebuchet MS" w:hAnsi="Trebuchet MS"/>
        <w:noProof/>
      </w:rPr>
      <w:drawing>
        <wp:inline distT="0" distB="0" distL="0" distR="0" wp14:anchorId="353E580A" wp14:editId="07777777">
          <wp:extent cx="2717800" cy="317500"/>
          <wp:effectExtent l="25400" t="0" r="0" b="0"/>
          <wp:docPr id="2" name="Picture 2"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logo-horiz-rgb"/>
                  <pic:cNvPicPr>
                    <a:picLocks noChangeAspect="1" noChangeArrowheads="1"/>
                  </pic:cNvPicPr>
                </pic:nvPicPr>
                <pic:blipFill>
                  <a:blip r:embed="rId1"/>
                  <a:srcRect/>
                  <a:stretch>
                    <a:fillRect/>
                  </a:stretch>
                </pic:blipFill>
                <pic:spPr bwMode="auto">
                  <a:xfrm>
                    <a:off x="0" y="0"/>
                    <a:ext cx="2717800" cy="317500"/>
                  </a:xfrm>
                  <a:prstGeom prst="rect">
                    <a:avLst/>
                  </a:prstGeom>
                  <a:noFill/>
                  <a:ln w="9525">
                    <a:noFill/>
                    <a:miter lim="800000"/>
                    <a:headEnd/>
                    <a:tailEnd/>
                  </a:ln>
                </pic:spPr>
              </pic:pic>
            </a:graphicData>
          </a:graphic>
        </wp:inline>
      </w:drawing>
    </w:r>
    <w:r w:rsidR="00522189" w:rsidRPr="004F1393">
      <w:rPr>
        <w:rFonts w:ascii="Trebuchet MS" w:hAnsi="Trebuchet MS"/>
      </w:rPr>
      <w:tab/>
    </w:r>
    <w:r w:rsidR="00522189">
      <w:rPr>
        <w:rFonts w:ascii="Trebuchet MS" w:hAnsi="Trebuchet MS"/>
      </w:rPr>
      <w:tab/>
    </w:r>
    <w:r w:rsidR="00522189">
      <w:rPr>
        <w:rFonts w:ascii="Trebuchet MS" w:hAnsi="Trebuchet MS"/>
        <w:noProof/>
      </w:rPr>
      <w:drawing>
        <wp:inline distT="0" distB="0" distL="0" distR="0" wp14:anchorId="4D2074E6" wp14:editId="07777777">
          <wp:extent cx="1143000" cy="368300"/>
          <wp:effectExtent l="0" t="0" r="0" b="0"/>
          <wp:docPr id="3"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srcRect/>
                  <a:stretch>
                    <a:fillRect/>
                  </a:stretch>
                </pic:blipFill>
                <pic:spPr bwMode="auto">
                  <a:xfrm>
                    <a:off x="0" y="0"/>
                    <a:ext cx="1143000" cy="368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B5493" w14:textId="77777777" w:rsidR="00522189" w:rsidRDefault="00522189" w:rsidP="003D171D">
      <w:r>
        <w:separator/>
      </w:r>
    </w:p>
  </w:footnote>
  <w:footnote w:type="continuationSeparator" w:id="0">
    <w:p w14:paraId="551EDB72" w14:textId="77777777" w:rsidR="00522189" w:rsidRDefault="00522189"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A38" w14:textId="77777777" w:rsidR="00522189" w:rsidRDefault="00996D41" w:rsidP="00EA4732">
    <w:pPr>
      <w:pStyle w:val="Header"/>
      <w:framePr w:wrap="around" w:vAnchor="text" w:hAnchor="margin" w:xAlign="right" w:y="1"/>
      <w:rPr>
        <w:rStyle w:val="PageNumber"/>
      </w:rPr>
    </w:pPr>
    <w:r>
      <w:rPr>
        <w:rStyle w:val="PageNumber"/>
      </w:rPr>
      <w:fldChar w:fldCharType="begin"/>
    </w:r>
    <w:r w:rsidR="00522189">
      <w:rPr>
        <w:rStyle w:val="PageNumber"/>
      </w:rPr>
      <w:instrText xml:space="preserve">PAGE  </w:instrText>
    </w:r>
    <w:r>
      <w:rPr>
        <w:rStyle w:val="PageNumber"/>
      </w:rPr>
      <w:fldChar w:fldCharType="end"/>
    </w:r>
  </w:p>
  <w:p w14:paraId="131A3BBA" w14:textId="77777777" w:rsidR="00522189" w:rsidRDefault="00522189"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F701" w14:textId="77777777" w:rsidR="00522189" w:rsidRPr="00633683" w:rsidRDefault="00544195"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1A4C67DB" wp14:editId="07777777">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62B0" w14:textId="77777777" w:rsidR="00522189" w:rsidRPr="00F069F8" w:rsidRDefault="00522189" w:rsidP="00F069F8">
                          <w:pPr>
                            <w:rPr>
                              <w:b/>
                              <w:bCs/>
                              <w:sz w:val="40"/>
                            </w:rPr>
                          </w:pPr>
                          <w:r>
                            <w:rPr>
                              <w:b/>
                              <w:bCs/>
                              <w:sz w:val="40"/>
                            </w:rPr>
                            <w:t>Overcoming Barriers To High Value Care</w:t>
                          </w:r>
                        </w:p>
                        <w:p w14:paraId="016717B7" w14:textId="77777777" w:rsidR="00522189" w:rsidRPr="002E0F7D" w:rsidRDefault="00522189"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14:paraId="2B2A62B0" w14:textId="77777777" w:rsidR="00522189" w:rsidRPr="00F069F8" w:rsidRDefault="00522189" w:rsidP="00F069F8">
                    <w:pPr>
                      <w:rPr>
                        <w:b/>
                        <w:bCs/>
                        <w:sz w:val="40"/>
                      </w:rPr>
                    </w:pPr>
                    <w:r>
                      <w:rPr>
                        <w:b/>
                        <w:bCs/>
                        <w:sz w:val="40"/>
                      </w:rPr>
                      <w:t xml:space="preserve">Overcoming Barriers </w:t>
                    </w:r>
                    <w:proofErr w:type="gramStart"/>
                    <w:r>
                      <w:rPr>
                        <w:b/>
                        <w:bCs/>
                        <w:sz w:val="40"/>
                      </w:rPr>
                      <w:t>To</w:t>
                    </w:r>
                    <w:proofErr w:type="gramEnd"/>
                    <w:r>
                      <w:rPr>
                        <w:b/>
                        <w:bCs/>
                        <w:sz w:val="40"/>
                      </w:rPr>
                      <w:t xml:space="preserve"> High Value Care</w:t>
                    </w:r>
                  </w:p>
                  <w:p w14:paraId="016717B7" w14:textId="77777777" w:rsidR="00522189" w:rsidRPr="002E0F7D" w:rsidRDefault="00522189" w:rsidP="00C67ADB">
                    <w:pPr>
                      <w:spacing w:line="400" w:lineRule="exact"/>
                      <w:rPr>
                        <w:sz w:val="36"/>
                        <w:szCs w:val="36"/>
                      </w:rPr>
                    </w:pPr>
                  </w:p>
                </w:txbxContent>
              </v:textbox>
            </v:shape>
          </w:pict>
        </mc:Fallback>
      </mc:AlternateContent>
    </w:r>
    <w:r w:rsidR="00522189">
      <w:rPr>
        <w:b/>
        <w:bCs/>
        <w:noProof/>
        <w:sz w:val="40"/>
      </w:rPr>
      <w:drawing>
        <wp:inline distT="0" distB="0" distL="0" distR="0" wp14:anchorId="373545E9" wp14:editId="07777777">
          <wp:extent cx="2324100" cy="469900"/>
          <wp:effectExtent l="25400" t="0" r="0" b="0"/>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srcRect/>
                  <a:stretch>
                    <a:fillRect/>
                  </a:stretch>
                </pic:blipFill>
                <pic:spPr bwMode="auto">
                  <a:xfrm>
                    <a:off x="0" y="0"/>
                    <a:ext cx="2324100" cy="469900"/>
                  </a:xfrm>
                  <a:prstGeom prst="rect">
                    <a:avLst/>
                  </a:prstGeom>
                  <a:noFill/>
                  <a:ln w="9525">
                    <a:noFill/>
                    <a:miter lim="800000"/>
                    <a:headEnd/>
                    <a:tailEnd/>
                  </a:ln>
                </pic:spPr>
              </pic:pic>
            </a:graphicData>
          </a:graphic>
        </wp:inline>
      </w:drawing>
    </w:r>
  </w:p>
  <w:p w14:paraId="025C5E1A" w14:textId="77777777" w:rsidR="00522189" w:rsidRPr="00633683" w:rsidRDefault="00522189" w:rsidP="006D7F6D">
    <w:pPr>
      <w:pStyle w:val="Header"/>
      <w:tabs>
        <w:tab w:val="clear" w:pos="9360"/>
        <w:tab w:val="right" w:pos="9810"/>
      </w:tabs>
      <w:ind w:right="360"/>
      <w:jc w:val="right"/>
    </w:pPr>
  </w:p>
  <w:p w14:paraId="5BF06615" w14:textId="77777777" w:rsidR="00522189" w:rsidRPr="00633683" w:rsidRDefault="00544195"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14:anchorId="0854C195" wp14:editId="07777777">
              <wp:simplePos x="0" y="0"/>
              <wp:positionH relativeFrom="column">
                <wp:posOffset>-685800</wp:posOffset>
              </wp:positionH>
              <wp:positionV relativeFrom="paragraph">
                <wp:posOffset>41275</wp:posOffset>
              </wp:positionV>
              <wp:extent cx="82296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4D2074E6">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7365d" strokeweight="1pt"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v:fill o:detectmouseclick="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0375"/>
    <w:multiLevelType w:val="hybridMultilevel"/>
    <w:tmpl w:val="89A64C64"/>
    <w:lvl w:ilvl="0" w:tplc="F8F6A346">
      <w:start w:val="1"/>
      <w:numFmt w:val="bullet"/>
      <w:lvlText w:val=""/>
      <w:lvlJc w:val="left"/>
      <w:pPr>
        <w:tabs>
          <w:tab w:val="num" w:pos="720"/>
        </w:tabs>
        <w:ind w:left="720" w:hanging="360"/>
      </w:pPr>
      <w:rPr>
        <w:rFonts w:ascii="Wingdings 2" w:hAnsi="Wingdings 2" w:hint="default"/>
      </w:rPr>
    </w:lvl>
    <w:lvl w:ilvl="1" w:tplc="5BA086A2" w:tentative="1">
      <w:start w:val="1"/>
      <w:numFmt w:val="bullet"/>
      <w:lvlText w:val=""/>
      <w:lvlJc w:val="left"/>
      <w:pPr>
        <w:tabs>
          <w:tab w:val="num" w:pos="1440"/>
        </w:tabs>
        <w:ind w:left="1440" w:hanging="360"/>
      </w:pPr>
      <w:rPr>
        <w:rFonts w:ascii="Wingdings 2" w:hAnsi="Wingdings 2" w:hint="default"/>
      </w:rPr>
    </w:lvl>
    <w:lvl w:ilvl="2" w:tplc="77883F48" w:tentative="1">
      <w:start w:val="1"/>
      <w:numFmt w:val="bullet"/>
      <w:lvlText w:val=""/>
      <w:lvlJc w:val="left"/>
      <w:pPr>
        <w:tabs>
          <w:tab w:val="num" w:pos="2160"/>
        </w:tabs>
        <w:ind w:left="2160" w:hanging="360"/>
      </w:pPr>
      <w:rPr>
        <w:rFonts w:ascii="Wingdings 2" w:hAnsi="Wingdings 2" w:hint="default"/>
      </w:rPr>
    </w:lvl>
    <w:lvl w:ilvl="3" w:tplc="401244CE" w:tentative="1">
      <w:start w:val="1"/>
      <w:numFmt w:val="bullet"/>
      <w:lvlText w:val=""/>
      <w:lvlJc w:val="left"/>
      <w:pPr>
        <w:tabs>
          <w:tab w:val="num" w:pos="2880"/>
        </w:tabs>
        <w:ind w:left="2880" w:hanging="360"/>
      </w:pPr>
      <w:rPr>
        <w:rFonts w:ascii="Wingdings 2" w:hAnsi="Wingdings 2" w:hint="default"/>
      </w:rPr>
    </w:lvl>
    <w:lvl w:ilvl="4" w:tplc="2188E3A6" w:tentative="1">
      <w:start w:val="1"/>
      <w:numFmt w:val="bullet"/>
      <w:lvlText w:val=""/>
      <w:lvlJc w:val="left"/>
      <w:pPr>
        <w:tabs>
          <w:tab w:val="num" w:pos="3600"/>
        </w:tabs>
        <w:ind w:left="3600" w:hanging="360"/>
      </w:pPr>
      <w:rPr>
        <w:rFonts w:ascii="Wingdings 2" w:hAnsi="Wingdings 2" w:hint="default"/>
      </w:rPr>
    </w:lvl>
    <w:lvl w:ilvl="5" w:tplc="1728BA52" w:tentative="1">
      <w:start w:val="1"/>
      <w:numFmt w:val="bullet"/>
      <w:lvlText w:val=""/>
      <w:lvlJc w:val="left"/>
      <w:pPr>
        <w:tabs>
          <w:tab w:val="num" w:pos="4320"/>
        </w:tabs>
        <w:ind w:left="4320" w:hanging="360"/>
      </w:pPr>
      <w:rPr>
        <w:rFonts w:ascii="Wingdings 2" w:hAnsi="Wingdings 2" w:hint="default"/>
      </w:rPr>
    </w:lvl>
    <w:lvl w:ilvl="6" w:tplc="7D8C01BA" w:tentative="1">
      <w:start w:val="1"/>
      <w:numFmt w:val="bullet"/>
      <w:lvlText w:val=""/>
      <w:lvlJc w:val="left"/>
      <w:pPr>
        <w:tabs>
          <w:tab w:val="num" w:pos="5040"/>
        </w:tabs>
        <w:ind w:left="5040" w:hanging="360"/>
      </w:pPr>
      <w:rPr>
        <w:rFonts w:ascii="Wingdings 2" w:hAnsi="Wingdings 2" w:hint="default"/>
      </w:rPr>
    </w:lvl>
    <w:lvl w:ilvl="7" w:tplc="A774B6BE" w:tentative="1">
      <w:start w:val="1"/>
      <w:numFmt w:val="bullet"/>
      <w:lvlText w:val=""/>
      <w:lvlJc w:val="left"/>
      <w:pPr>
        <w:tabs>
          <w:tab w:val="num" w:pos="5760"/>
        </w:tabs>
        <w:ind w:left="5760" w:hanging="360"/>
      </w:pPr>
      <w:rPr>
        <w:rFonts w:ascii="Wingdings 2" w:hAnsi="Wingdings 2" w:hint="default"/>
      </w:rPr>
    </w:lvl>
    <w:lvl w:ilvl="8" w:tplc="45342C34" w:tentative="1">
      <w:start w:val="1"/>
      <w:numFmt w:val="bullet"/>
      <w:lvlText w:val=""/>
      <w:lvlJc w:val="left"/>
      <w:pPr>
        <w:tabs>
          <w:tab w:val="num" w:pos="6480"/>
        </w:tabs>
        <w:ind w:left="6480" w:hanging="360"/>
      </w:pPr>
      <w:rPr>
        <w:rFonts w:ascii="Wingdings 2" w:hAnsi="Wingdings 2" w:hint="default"/>
      </w:rPr>
    </w:lvl>
  </w:abstractNum>
  <w:abstractNum w:abstractNumId="2">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2164CA"/>
    <w:multiLevelType w:val="hybridMultilevel"/>
    <w:tmpl w:val="C546A188"/>
    <w:lvl w:ilvl="0" w:tplc="839806AC">
      <w:start w:val="1"/>
      <w:numFmt w:val="decimal"/>
      <w:lvlText w:val="%1."/>
      <w:lvlJc w:val="left"/>
      <w:pPr>
        <w:tabs>
          <w:tab w:val="num" w:pos="720"/>
        </w:tabs>
        <w:ind w:left="720" w:hanging="360"/>
      </w:pPr>
    </w:lvl>
    <w:lvl w:ilvl="1" w:tplc="6CCA0C44" w:tentative="1">
      <w:start w:val="1"/>
      <w:numFmt w:val="decimal"/>
      <w:lvlText w:val="%2."/>
      <w:lvlJc w:val="left"/>
      <w:pPr>
        <w:tabs>
          <w:tab w:val="num" w:pos="1440"/>
        </w:tabs>
        <w:ind w:left="1440" w:hanging="360"/>
      </w:pPr>
    </w:lvl>
    <w:lvl w:ilvl="2" w:tplc="CC1CD314" w:tentative="1">
      <w:start w:val="1"/>
      <w:numFmt w:val="decimal"/>
      <w:lvlText w:val="%3."/>
      <w:lvlJc w:val="left"/>
      <w:pPr>
        <w:tabs>
          <w:tab w:val="num" w:pos="2160"/>
        </w:tabs>
        <w:ind w:left="2160" w:hanging="360"/>
      </w:pPr>
    </w:lvl>
    <w:lvl w:ilvl="3" w:tplc="4A0ADD3A" w:tentative="1">
      <w:start w:val="1"/>
      <w:numFmt w:val="decimal"/>
      <w:lvlText w:val="%4."/>
      <w:lvlJc w:val="left"/>
      <w:pPr>
        <w:tabs>
          <w:tab w:val="num" w:pos="2880"/>
        </w:tabs>
        <w:ind w:left="2880" w:hanging="360"/>
      </w:pPr>
    </w:lvl>
    <w:lvl w:ilvl="4" w:tplc="A5564D60" w:tentative="1">
      <w:start w:val="1"/>
      <w:numFmt w:val="decimal"/>
      <w:lvlText w:val="%5."/>
      <w:lvlJc w:val="left"/>
      <w:pPr>
        <w:tabs>
          <w:tab w:val="num" w:pos="3600"/>
        </w:tabs>
        <w:ind w:left="3600" w:hanging="360"/>
      </w:pPr>
    </w:lvl>
    <w:lvl w:ilvl="5" w:tplc="E6A004B6" w:tentative="1">
      <w:start w:val="1"/>
      <w:numFmt w:val="decimal"/>
      <w:lvlText w:val="%6."/>
      <w:lvlJc w:val="left"/>
      <w:pPr>
        <w:tabs>
          <w:tab w:val="num" w:pos="4320"/>
        </w:tabs>
        <w:ind w:left="4320" w:hanging="360"/>
      </w:pPr>
    </w:lvl>
    <w:lvl w:ilvl="6" w:tplc="29389E36" w:tentative="1">
      <w:start w:val="1"/>
      <w:numFmt w:val="decimal"/>
      <w:lvlText w:val="%7."/>
      <w:lvlJc w:val="left"/>
      <w:pPr>
        <w:tabs>
          <w:tab w:val="num" w:pos="5040"/>
        </w:tabs>
        <w:ind w:left="5040" w:hanging="360"/>
      </w:pPr>
    </w:lvl>
    <w:lvl w:ilvl="7" w:tplc="2B4EDF08" w:tentative="1">
      <w:start w:val="1"/>
      <w:numFmt w:val="decimal"/>
      <w:lvlText w:val="%8."/>
      <w:lvlJc w:val="left"/>
      <w:pPr>
        <w:tabs>
          <w:tab w:val="num" w:pos="5760"/>
        </w:tabs>
        <w:ind w:left="5760" w:hanging="360"/>
      </w:pPr>
    </w:lvl>
    <w:lvl w:ilvl="8" w:tplc="EB825F5E" w:tentative="1">
      <w:start w:val="1"/>
      <w:numFmt w:val="decimal"/>
      <w:lvlText w:val="%9."/>
      <w:lvlJc w:val="left"/>
      <w:pPr>
        <w:tabs>
          <w:tab w:val="num" w:pos="6480"/>
        </w:tabs>
        <w:ind w:left="6480" w:hanging="360"/>
      </w:pPr>
    </w:lvl>
  </w:abstractNum>
  <w:abstractNum w:abstractNumId="9">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25708"/>
    <w:multiLevelType w:val="hybridMultilevel"/>
    <w:tmpl w:val="497A3F10"/>
    <w:lvl w:ilvl="0" w:tplc="A6548BFE">
      <w:start w:val="1"/>
      <w:numFmt w:val="bullet"/>
      <w:lvlText w:val=""/>
      <w:lvlJc w:val="left"/>
      <w:pPr>
        <w:tabs>
          <w:tab w:val="num" w:pos="720"/>
        </w:tabs>
        <w:ind w:left="720" w:hanging="360"/>
      </w:pPr>
      <w:rPr>
        <w:rFonts w:ascii="Wingdings 2" w:hAnsi="Wingdings 2" w:hint="default"/>
      </w:rPr>
    </w:lvl>
    <w:lvl w:ilvl="1" w:tplc="153C1BA8" w:tentative="1">
      <w:start w:val="1"/>
      <w:numFmt w:val="bullet"/>
      <w:lvlText w:val=""/>
      <w:lvlJc w:val="left"/>
      <w:pPr>
        <w:tabs>
          <w:tab w:val="num" w:pos="1440"/>
        </w:tabs>
        <w:ind w:left="1440" w:hanging="360"/>
      </w:pPr>
      <w:rPr>
        <w:rFonts w:ascii="Wingdings 2" w:hAnsi="Wingdings 2" w:hint="default"/>
      </w:rPr>
    </w:lvl>
    <w:lvl w:ilvl="2" w:tplc="47001868" w:tentative="1">
      <w:start w:val="1"/>
      <w:numFmt w:val="bullet"/>
      <w:lvlText w:val=""/>
      <w:lvlJc w:val="left"/>
      <w:pPr>
        <w:tabs>
          <w:tab w:val="num" w:pos="2160"/>
        </w:tabs>
        <w:ind w:left="2160" w:hanging="360"/>
      </w:pPr>
      <w:rPr>
        <w:rFonts w:ascii="Wingdings 2" w:hAnsi="Wingdings 2" w:hint="default"/>
      </w:rPr>
    </w:lvl>
    <w:lvl w:ilvl="3" w:tplc="D6BC8858" w:tentative="1">
      <w:start w:val="1"/>
      <w:numFmt w:val="bullet"/>
      <w:lvlText w:val=""/>
      <w:lvlJc w:val="left"/>
      <w:pPr>
        <w:tabs>
          <w:tab w:val="num" w:pos="2880"/>
        </w:tabs>
        <w:ind w:left="2880" w:hanging="360"/>
      </w:pPr>
      <w:rPr>
        <w:rFonts w:ascii="Wingdings 2" w:hAnsi="Wingdings 2" w:hint="default"/>
      </w:rPr>
    </w:lvl>
    <w:lvl w:ilvl="4" w:tplc="186C4948" w:tentative="1">
      <w:start w:val="1"/>
      <w:numFmt w:val="bullet"/>
      <w:lvlText w:val=""/>
      <w:lvlJc w:val="left"/>
      <w:pPr>
        <w:tabs>
          <w:tab w:val="num" w:pos="3600"/>
        </w:tabs>
        <w:ind w:left="3600" w:hanging="360"/>
      </w:pPr>
      <w:rPr>
        <w:rFonts w:ascii="Wingdings 2" w:hAnsi="Wingdings 2" w:hint="default"/>
      </w:rPr>
    </w:lvl>
    <w:lvl w:ilvl="5" w:tplc="C4AEF716" w:tentative="1">
      <w:start w:val="1"/>
      <w:numFmt w:val="bullet"/>
      <w:lvlText w:val=""/>
      <w:lvlJc w:val="left"/>
      <w:pPr>
        <w:tabs>
          <w:tab w:val="num" w:pos="4320"/>
        </w:tabs>
        <w:ind w:left="4320" w:hanging="360"/>
      </w:pPr>
      <w:rPr>
        <w:rFonts w:ascii="Wingdings 2" w:hAnsi="Wingdings 2" w:hint="default"/>
      </w:rPr>
    </w:lvl>
    <w:lvl w:ilvl="6" w:tplc="AFAA81E0" w:tentative="1">
      <w:start w:val="1"/>
      <w:numFmt w:val="bullet"/>
      <w:lvlText w:val=""/>
      <w:lvlJc w:val="left"/>
      <w:pPr>
        <w:tabs>
          <w:tab w:val="num" w:pos="5040"/>
        </w:tabs>
        <w:ind w:left="5040" w:hanging="360"/>
      </w:pPr>
      <w:rPr>
        <w:rFonts w:ascii="Wingdings 2" w:hAnsi="Wingdings 2" w:hint="default"/>
      </w:rPr>
    </w:lvl>
    <w:lvl w:ilvl="7" w:tplc="1592ED1C" w:tentative="1">
      <w:start w:val="1"/>
      <w:numFmt w:val="bullet"/>
      <w:lvlText w:val=""/>
      <w:lvlJc w:val="left"/>
      <w:pPr>
        <w:tabs>
          <w:tab w:val="num" w:pos="5760"/>
        </w:tabs>
        <w:ind w:left="5760" w:hanging="360"/>
      </w:pPr>
      <w:rPr>
        <w:rFonts w:ascii="Wingdings 2" w:hAnsi="Wingdings 2" w:hint="default"/>
      </w:rPr>
    </w:lvl>
    <w:lvl w:ilvl="8" w:tplc="D0E8C988" w:tentative="1">
      <w:start w:val="1"/>
      <w:numFmt w:val="bullet"/>
      <w:lvlText w:val=""/>
      <w:lvlJc w:val="left"/>
      <w:pPr>
        <w:tabs>
          <w:tab w:val="num" w:pos="6480"/>
        </w:tabs>
        <w:ind w:left="6480" w:hanging="360"/>
      </w:pPr>
      <w:rPr>
        <w:rFonts w:ascii="Wingdings 2" w:hAnsi="Wingdings 2" w:hint="default"/>
      </w:rPr>
    </w:lvl>
  </w:abstractNum>
  <w:abstractNum w:abstractNumId="13">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DDD62E7"/>
    <w:multiLevelType w:val="hybridMultilevel"/>
    <w:tmpl w:val="319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D4CAE"/>
    <w:multiLevelType w:val="hybridMultilevel"/>
    <w:tmpl w:val="E6BC7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E41480"/>
    <w:multiLevelType w:val="hybridMultilevel"/>
    <w:tmpl w:val="2F14858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5DA133D8"/>
    <w:multiLevelType w:val="hybridMultilevel"/>
    <w:tmpl w:val="60E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E21734"/>
    <w:multiLevelType w:val="hybridMultilevel"/>
    <w:tmpl w:val="D33A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3">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5"/>
  </w:num>
  <w:num w:numId="4">
    <w:abstractNumId w:val="14"/>
  </w:num>
  <w:num w:numId="5">
    <w:abstractNumId w:val="6"/>
  </w:num>
  <w:num w:numId="6">
    <w:abstractNumId w:val="9"/>
  </w:num>
  <w:num w:numId="7">
    <w:abstractNumId w:val="0"/>
  </w:num>
  <w:num w:numId="8">
    <w:abstractNumId w:val="23"/>
  </w:num>
  <w:num w:numId="9">
    <w:abstractNumId w:val="3"/>
  </w:num>
  <w:num w:numId="10">
    <w:abstractNumId w:val="2"/>
  </w:num>
  <w:num w:numId="11">
    <w:abstractNumId w:val="4"/>
  </w:num>
  <w:num w:numId="12">
    <w:abstractNumId w:val="13"/>
  </w:num>
  <w:num w:numId="13">
    <w:abstractNumId w:val="11"/>
  </w:num>
  <w:num w:numId="14">
    <w:abstractNumId w:val="21"/>
  </w:num>
  <w:num w:numId="15">
    <w:abstractNumId w:val="7"/>
  </w:num>
  <w:num w:numId="16">
    <w:abstractNumId w:val="22"/>
  </w:num>
  <w:num w:numId="17">
    <w:abstractNumId w:val="15"/>
  </w:num>
  <w:num w:numId="18">
    <w:abstractNumId w:val="12"/>
  </w:num>
  <w:num w:numId="19">
    <w:abstractNumId w:val="18"/>
  </w:num>
  <w:num w:numId="20">
    <w:abstractNumId w:val="20"/>
  </w:num>
  <w:num w:numId="21">
    <w:abstractNumId w:val="19"/>
  </w:num>
  <w:num w:numId="22">
    <w:abstractNumId w:val="1"/>
  </w:num>
  <w:num w:numId="23">
    <w:abstractNumId w:val="8"/>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132DD"/>
    <w:rsid w:val="00022A14"/>
    <w:rsid w:val="00024435"/>
    <w:rsid w:val="0003625E"/>
    <w:rsid w:val="000554C5"/>
    <w:rsid w:val="000809B5"/>
    <w:rsid w:val="000A0324"/>
    <w:rsid w:val="000B6B2B"/>
    <w:rsid w:val="000C066A"/>
    <w:rsid w:val="000D3670"/>
    <w:rsid w:val="000E63F1"/>
    <w:rsid w:val="00102E50"/>
    <w:rsid w:val="00113F48"/>
    <w:rsid w:val="001305AD"/>
    <w:rsid w:val="00182356"/>
    <w:rsid w:val="00182BE8"/>
    <w:rsid w:val="001940CB"/>
    <w:rsid w:val="00197975"/>
    <w:rsid w:val="001A06D4"/>
    <w:rsid w:val="001A6C5E"/>
    <w:rsid w:val="001A7409"/>
    <w:rsid w:val="001D6DDD"/>
    <w:rsid w:val="001E6E90"/>
    <w:rsid w:val="00223A35"/>
    <w:rsid w:val="00240DEE"/>
    <w:rsid w:val="00247A35"/>
    <w:rsid w:val="00253968"/>
    <w:rsid w:val="00263209"/>
    <w:rsid w:val="00263717"/>
    <w:rsid w:val="00272D15"/>
    <w:rsid w:val="00295FC4"/>
    <w:rsid w:val="002A2723"/>
    <w:rsid w:val="002A47E8"/>
    <w:rsid w:val="002B5E69"/>
    <w:rsid w:val="002C2C5C"/>
    <w:rsid w:val="002C3A9C"/>
    <w:rsid w:val="002C4B4E"/>
    <w:rsid w:val="002D3738"/>
    <w:rsid w:val="002E0F7D"/>
    <w:rsid w:val="002E1ED3"/>
    <w:rsid w:val="002E5BEE"/>
    <w:rsid w:val="00302E58"/>
    <w:rsid w:val="00353262"/>
    <w:rsid w:val="00380E68"/>
    <w:rsid w:val="003874E2"/>
    <w:rsid w:val="003A783B"/>
    <w:rsid w:val="003D171D"/>
    <w:rsid w:val="003D4A37"/>
    <w:rsid w:val="003E6163"/>
    <w:rsid w:val="003F2A0E"/>
    <w:rsid w:val="004036C9"/>
    <w:rsid w:val="00441298"/>
    <w:rsid w:val="00445E69"/>
    <w:rsid w:val="004530C9"/>
    <w:rsid w:val="00453258"/>
    <w:rsid w:val="00463ACF"/>
    <w:rsid w:val="00467DFA"/>
    <w:rsid w:val="004A580B"/>
    <w:rsid w:val="004B6D4D"/>
    <w:rsid w:val="004C2EAE"/>
    <w:rsid w:val="004E047C"/>
    <w:rsid w:val="004E112F"/>
    <w:rsid w:val="004E5FD8"/>
    <w:rsid w:val="004F1393"/>
    <w:rsid w:val="00501452"/>
    <w:rsid w:val="00512EF6"/>
    <w:rsid w:val="00522189"/>
    <w:rsid w:val="00540372"/>
    <w:rsid w:val="00543C4B"/>
    <w:rsid w:val="00544195"/>
    <w:rsid w:val="00544417"/>
    <w:rsid w:val="0054783D"/>
    <w:rsid w:val="005A09B6"/>
    <w:rsid w:val="005C2A6F"/>
    <w:rsid w:val="005F208F"/>
    <w:rsid w:val="005F43DB"/>
    <w:rsid w:val="00633683"/>
    <w:rsid w:val="00664EEE"/>
    <w:rsid w:val="00677790"/>
    <w:rsid w:val="006A151B"/>
    <w:rsid w:val="006B047F"/>
    <w:rsid w:val="006D06BF"/>
    <w:rsid w:val="006D3E66"/>
    <w:rsid w:val="006D7F6D"/>
    <w:rsid w:val="006F20BE"/>
    <w:rsid w:val="006F44A5"/>
    <w:rsid w:val="006F76BE"/>
    <w:rsid w:val="007430EF"/>
    <w:rsid w:val="00747F20"/>
    <w:rsid w:val="00750990"/>
    <w:rsid w:val="0075136D"/>
    <w:rsid w:val="007915B7"/>
    <w:rsid w:val="007A7BB6"/>
    <w:rsid w:val="007D21E0"/>
    <w:rsid w:val="007D6EEA"/>
    <w:rsid w:val="007E5CF1"/>
    <w:rsid w:val="00815072"/>
    <w:rsid w:val="008320C5"/>
    <w:rsid w:val="00835457"/>
    <w:rsid w:val="00842E87"/>
    <w:rsid w:val="00846801"/>
    <w:rsid w:val="00851332"/>
    <w:rsid w:val="008723C0"/>
    <w:rsid w:val="00880AE6"/>
    <w:rsid w:val="00881565"/>
    <w:rsid w:val="008856CF"/>
    <w:rsid w:val="008A07F8"/>
    <w:rsid w:val="008B2B32"/>
    <w:rsid w:val="008B5810"/>
    <w:rsid w:val="008C7124"/>
    <w:rsid w:val="008D3E05"/>
    <w:rsid w:val="00941BBE"/>
    <w:rsid w:val="00946EDF"/>
    <w:rsid w:val="00953E2C"/>
    <w:rsid w:val="00963E92"/>
    <w:rsid w:val="00972A15"/>
    <w:rsid w:val="0098185A"/>
    <w:rsid w:val="00987888"/>
    <w:rsid w:val="00996D41"/>
    <w:rsid w:val="009B5ABF"/>
    <w:rsid w:val="009B5B20"/>
    <w:rsid w:val="009E0B07"/>
    <w:rsid w:val="00A02B3D"/>
    <w:rsid w:val="00A11C72"/>
    <w:rsid w:val="00A2157C"/>
    <w:rsid w:val="00A31642"/>
    <w:rsid w:val="00A35E5F"/>
    <w:rsid w:val="00A5260D"/>
    <w:rsid w:val="00A66275"/>
    <w:rsid w:val="00A774CF"/>
    <w:rsid w:val="00A820D0"/>
    <w:rsid w:val="00A85A08"/>
    <w:rsid w:val="00AB5002"/>
    <w:rsid w:val="00AC7706"/>
    <w:rsid w:val="00AE77BE"/>
    <w:rsid w:val="00B332B9"/>
    <w:rsid w:val="00B5510D"/>
    <w:rsid w:val="00B56772"/>
    <w:rsid w:val="00B7510C"/>
    <w:rsid w:val="00B96AD9"/>
    <w:rsid w:val="00BB36ED"/>
    <w:rsid w:val="00BB382B"/>
    <w:rsid w:val="00C07FCE"/>
    <w:rsid w:val="00C2138E"/>
    <w:rsid w:val="00C24603"/>
    <w:rsid w:val="00C46543"/>
    <w:rsid w:val="00C6743B"/>
    <w:rsid w:val="00C67ADB"/>
    <w:rsid w:val="00C770D6"/>
    <w:rsid w:val="00CA0FAB"/>
    <w:rsid w:val="00CC4F45"/>
    <w:rsid w:val="00CD79C1"/>
    <w:rsid w:val="00CE11C1"/>
    <w:rsid w:val="00CF0AE6"/>
    <w:rsid w:val="00D15EB0"/>
    <w:rsid w:val="00D32F53"/>
    <w:rsid w:val="00D36AF5"/>
    <w:rsid w:val="00D46152"/>
    <w:rsid w:val="00D51C32"/>
    <w:rsid w:val="00D95052"/>
    <w:rsid w:val="00DB6FAD"/>
    <w:rsid w:val="00DC54CB"/>
    <w:rsid w:val="00E03658"/>
    <w:rsid w:val="00E272B9"/>
    <w:rsid w:val="00E7605D"/>
    <w:rsid w:val="00E90E08"/>
    <w:rsid w:val="00EA1B90"/>
    <w:rsid w:val="00EA4732"/>
    <w:rsid w:val="00EA518B"/>
    <w:rsid w:val="00EC3F0F"/>
    <w:rsid w:val="00F00B41"/>
    <w:rsid w:val="00F03457"/>
    <w:rsid w:val="00F0451C"/>
    <w:rsid w:val="00F069F8"/>
    <w:rsid w:val="00F36FED"/>
    <w:rsid w:val="00F41C3A"/>
    <w:rsid w:val="00F44827"/>
    <w:rsid w:val="00F44C55"/>
    <w:rsid w:val="00F8293F"/>
    <w:rsid w:val="00F872A5"/>
    <w:rsid w:val="00F97379"/>
    <w:rsid w:val="00FC2F23"/>
    <w:rsid w:val="00FC6829"/>
    <w:rsid w:val="00FD2B25"/>
    <w:rsid w:val="00FF135E"/>
    <w:rsid w:val="734107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9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99"/>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FollowedHyperlink">
    <w:name w:val="FollowedHyperlink"/>
    <w:basedOn w:val="DefaultParagraphFont"/>
    <w:uiPriority w:val="99"/>
    <w:semiHidden/>
    <w:unhideWhenUsed/>
    <w:rsid w:val="00463A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99"/>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FollowedHyperlink">
    <w:name w:val="FollowedHyperlink"/>
    <w:basedOn w:val="DefaultParagraphFont"/>
    <w:uiPriority w:val="99"/>
    <w:semiHidden/>
    <w:unhideWhenUsed/>
    <w:rsid w:val="00463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1683028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91">
          <w:marLeft w:val="806"/>
          <w:marRight w:val="0"/>
          <w:marTop w:val="192"/>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275066466">
      <w:bodyDiv w:val="1"/>
      <w:marLeft w:val="0"/>
      <w:marRight w:val="0"/>
      <w:marTop w:val="0"/>
      <w:marBottom w:val="0"/>
      <w:divBdr>
        <w:top w:val="none" w:sz="0" w:space="0" w:color="auto"/>
        <w:left w:val="none" w:sz="0" w:space="0" w:color="auto"/>
        <w:bottom w:val="none" w:sz="0" w:space="0" w:color="auto"/>
        <w:right w:val="none" w:sz="0" w:space="0" w:color="auto"/>
      </w:divBdr>
      <w:divsChild>
        <w:div w:id="1140072677">
          <w:marLeft w:val="547"/>
          <w:marRight w:val="0"/>
          <w:marTop w:val="0"/>
          <w:marBottom w:val="0"/>
          <w:divBdr>
            <w:top w:val="none" w:sz="0" w:space="0" w:color="auto"/>
            <w:left w:val="none" w:sz="0" w:space="0" w:color="auto"/>
            <w:bottom w:val="none" w:sz="0" w:space="0" w:color="auto"/>
            <w:right w:val="none" w:sz="0" w:space="0" w:color="auto"/>
          </w:divBdr>
        </w:div>
        <w:div w:id="256721262">
          <w:marLeft w:val="547"/>
          <w:marRight w:val="0"/>
          <w:marTop w:val="0"/>
          <w:marBottom w:val="0"/>
          <w:divBdr>
            <w:top w:val="none" w:sz="0" w:space="0" w:color="auto"/>
            <w:left w:val="none" w:sz="0" w:space="0" w:color="auto"/>
            <w:bottom w:val="none" w:sz="0" w:space="0" w:color="auto"/>
            <w:right w:val="none" w:sz="0" w:space="0" w:color="auto"/>
          </w:divBdr>
        </w:div>
        <w:div w:id="821506869">
          <w:marLeft w:val="547"/>
          <w:marRight w:val="0"/>
          <w:marTop w:val="0"/>
          <w:marBottom w:val="0"/>
          <w:divBdr>
            <w:top w:val="none" w:sz="0" w:space="0" w:color="auto"/>
            <w:left w:val="none" w:sz="0" w:space="0" w:color="auto"/>
            <w:bottom w:val="none" w:sz="0" w:space="0" w:color="auto"/>
            <w:right w:val="none" w:sz="0" w:space="0" w:color="auto"/>
          </w:divBdr>
        </w:div>
        <w:div w:id="82772122">
          <w:marLeft w:val="547"/>
          <w:marRight w:val="0"/>
          <w:marTop w:val="0"/>
          <w:marBottom w:val="0"/>
          <w:divBdr>
            <w:top w:val="none" w:sz="0" w:space="0" w:color="auto"/>
            <w:left w:val="none" w:sz="0" w:space="0" w:color="auto"/>
            <w:bottom w:val="none" w:sz="0" w:space="0" w:color="auto"/>
            <w:right w:val="none" w:sz="0" w:space="0" w:color="auto"/>
          </w:divBdr>
        </w:div>
      </w:divsChild>
    </w:div>
    <w:div w:id="568266906">
      <w:bodyDiv w:val="1"/>
      <w:marLeft w:val="0"/>
      <w:marRight w:val="0"/>
      <w:marTop w:val="0"/>
      <w:marBottom w:val="0"/>
      <w:divBdr>
        <w:top w:val="none" w:sz="0" w:space="0" w:color="auto"/>
        <w:left w:val="none" w:sz="0" w:space="0" w:color="auto"/>
        <w:bottom w:val="none" w:sz="0" w:space="0" w:color="auto"/>
        <w:right w:val="none" w:sz="0" w:space="0" w:color="auto"/>
      </w:divBdr>
    </w:div>
    <w:div w:id="641274332">
      <w:bodyDiv w:val="1"/>
      <w:marLeft w:val="0"/>
      <w:marRight w:val="0"/>
      <w:marTop w:val="0"/>
      <w:marBottom w:val="0"/>
      <w:divBdr>
        <w:top w:val="none" w:sz="0" w:space="0" w:color="auto"/>
        <w:left w:val="none" w:sz="0" w:space="0" w:color="auto"/>
        <w:bottom w:val="none" w:sz="0" w:space="0" w:color="auto"/>
        <w:right w:val="none" w:sz="0" w:space="0" w:color="auto"/>
      </w:divBdr>
      <w:divsChild>
        <w:div w:id="1402631621">
          <w:marLeft w:val="806"/>
          <w:marRight w:val="0"/>
          <w:marTop w:val="192"/>
          <w:marBottom w:val="0"/>
          <w:divBdr>
            <w:top w:val="none" w:sz="0" w:space="0" w:color="auto"/>
            <w:left w:val="none" w:sz="0" w:space="0" w:color="auto"/>
            <w:bottom w:val="none" w:sz="0" w:space="0" w:color="auto"/>
            <w:right w:val="none" w:sz="0" w:space="0" w:color="auto"/>
          </w:divBdr>
        </w:div>
      </w:divsChild>
    </w:div>
    <w:div w:id="647902850">
      <w:bodyDiv w:val="1"/>
      <w:marLeft w:val="0"/>
      <w:marRight w:val="0"/>
      <w:marTop w:val="0"/>
      <w:marBottom w:val="0"/>
      <w:divBdr>
        <w:top w:val="none" w:sz="0" w:space="0" w:color="auto"/>
        <w:left w:val="none" w:sz="0" w:space="0" w:color="auto"/>
        <w:bottom w:val="none" w:sz="0" w:space="0" w:color="auto"/>
        <w:right w:val="none" w:sz="0" w:space="0" w:color="auto"/>
      </w:divBdr>
      <w:divsChild>
        <w:div w:id="285166321">
          <w:marLeft w:val="806"/>
          <w:marRight w:val="0"/>
          <w:marTop w:val="192"/>
          <w:marBottom w:val="0"/>
          <w:divBdr>
            <w:top w:val="none" w:sz="0" w:space="0" w:color="auto"/>
            <w:left w:val="none" w:sz="0" w:space="0" w:color="auto"/>
            <w:bottom w:val="none" w:sz="0" w:space="0" w:color="auto"/>
            <w:right w:val="none" w:sz="0" w:space="0" w:color="auto"/>
          </w:divBdr>
        </w:div>
      </w:divsChild>
    </w:div>
    <w:div w:id="64921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8313">
          <w:marLeft w:val="806"/>
          <w:marRight w:val="0"/>
          <w:marTop w:val="192"/>
          <w:marBottom w:val="0"/>
          <w:divBdr>
            <w:top w:val="none" w:sz="0" w:space="0" w:color="auto"/>
            <w:left w:val="none" w:sz="0" w:space="0" w:color="auto"/>
            <w:bottom w:val="none" w:sz="0" w:space="0" w:color="auto"/>
            <w:right w:val="none" w:sz="0" w:space="0" w:color="auto"/>
          </w:divBdr>
        </w:div>
      </w:divsChild>
    </w:div>
    <w:div w:id="8421607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760">
          <w:marLeft w:val="806"/>
          <w:marRight w:val="0"/>
          <w:marTop w:val="192"/>
          <w:marBottom w:val="0"/>
          <w:divBdr>
            <w:top w:val="none" w:sz="0" w:space="0" w:color="auto"/>
            <w:left w:val="none" w:sz="0" w:space="0" w:color="auto"/>
            <w:bottom w:val="none" w:sz="0" w:space="0" w:color="auto"/>
            <w:right w:val="none" w:sz="0" w:space="0" w:color="auto"/>
          </w:divBdr>
        </w:div>
      </w:divsChild>
    </w:div>
    <w:div w:id="1119449795">
      <w:bodyDiv w:val="1"/>
      <w:marLeft w:val="0"/>
      <w:marRight w:val="0"/>
      <w:marTop w:val="0"/>
      <w:marBottom w:val="0"/>
      <w:divBdr>
        <w:top w:val="none" w:sz="0" w:space="0" w:color="auto"/>
        <w:left w:val="none" w:sz="0" w:space="0" w:color="auto"/>
        <w:bottom w:val="none" w:sz="0" w:space="0" w:color="auto"/>
        <w:right w:val="none" w:sz="0" w:space="0" w:color="auto"/>
      </w:divBdr>
      <w:divsChild>
        <w:div w:id="2001888118">
          <w:marLeft w:val="806"/>
          <w:marRight w:val="0"/>
          <w:marTop w:val="192"/>
          <w:marBottom w:val="0"/>
          <w:divBdr>
            <w:top w:val="none" w:sz="0" w:space="0" w:color="auto"/>
            <w:left w:val="none" w:sz="0" w:space="0" w:color="auto"/>
            <w:bottom w:val="none" w:sz="0" w:space="0" w:color="auto"/>
            <w:right w:val="none" w:sz="0" w:space="0" w:color="auto"/>
          </w:divBdr>
        </w:div>
      </w:divsChild>
    </w:div>
    <w:div w:id="1207717983">
      <w:bodyDiv w:val="1"/>
      <w:marLeft w:val="0"/>
      <w:marRight w:val="0"/>
      <w:marTop w:val="0"/>
      <w:marBottom w:val="0"/>
      <w:divBdr>
        <w:top w:val="none" w:sz="0" w:space="0" w:color="auto"/>
        <w:left w:val="none" w:sz="0" w:space="0" w:color="auto"/>
        <w:bottom w:val="none" w:sz="0" w:space="0" w:color="auto"/>
        <w:right w:val="none" w:sz="0" w:space="0" w:color="auto"/>
      </w:divBdr>
      <w:divsChild>
        <w:div w:id="96608480">
          <w:marLeft w:val="806"/>
          <w:marRight w:val="0"/>
          <w:marTop w:val="192"/>
          <w:marBottom w:val="0"/>
          <w:divBdr>
            <w:top w:val="none" w:sz="0" w:space="0" w:color="auto"/>
            <w:left w:val="none" w:sz="0" w:space="0" w:color="auto"/>
            <w:bottom w:val="none" w:sz="0" w:space="0" w:color="auto"/>
            <w:right w:val="none" w:sz="0" w:space="0" w:color="auto"/>
          </w:divBdr>
        </w:div>
      </w:divsChild>
    </w:div>
    <w:div w:id="1973555577">
      <w:bodyDiv w:val="1"/>
      <w:marLeft w:val="0"/>
      <w:marRight w:val="0"/>
      <w:marTop w:val="0"/>
      <w:marBottom w:val="0"/>
      <w:divBdr>
        <w:top w:val="none" w:sz="0" w:space="0" w:color="auto"/>
        <w:left w:val="none" w:sz="0" w:space="0" w:color="auto"/>
        <w:bottom w:val="none" w:sz="0" w:space="0" w:color="auto"/>
        <w:right w:val="none" w:sz="0" w:space="0" w:color="auto"/>
      </w:divBdr>
      <w:divsChild>
        <w:div w:id="317344669">
          <w:marLeft w:val="806"/>
          <w:marRight w:val="0"/>
          <w:marTop w:val="0"/>
          <w:marBottom w:val="0"/>
          <w:divBdr>
            <w:top w:val="none" w:sz="0" w:space="0" w:color="auto"/>
            <w:left w:val="none" w:sz="0" w:space="0" w:color="auto"/>
            <w:bottom w:val="none" w:sz="0" w:space="0" w:color="auto"/>
            <w:right w:val="none" w:sz="0" w:space="0" w:color="auto"/>
          </w:divBdr>
        </w:div>
        <w:div w:id="1525358634">
          <w:marLeft w:val="806"/>
          <w:marRight w:val="0"/>
          <w:marTop w:val="0"/>
          <w:marBottom w:val="0"/>
          <w:divBdr>
            <w:top w:val="none" w:sz="0" w:space="0" w:color="auto"/>
            <w:left w:val="none" w:sz="0" w:space="0" w:color="auto"/>
            <w:bottom w:val="none" w:sz="0" w:space="0" w:color="auto"/>
            <w:right w:val="none" w:sz="0" w:space="0" w:color="auto"/>
          </w:divBdr>
        </w:div>
        <w:div w:id="2067489629">
          <w:marLeft w:val="806"/>
          <w:marRight w:val="0"/>
          <w:marTop w:val="0"/>
          <w:marBottom w:val="0"/>
          <w:divBdr>
            <w:top w:val="none" w:sz="0" w:space="0" w:color="auto"/>
            <w:left w:val="none" w:sz="0" w:space="0" w:color="auto"/>
            <w:bottom w:val="none" w:sz="0" w:space="0" w:color="auto"/>
            <w:right w:val="none" w:sz="0" w:space="0" w:color="auto"/>
          </w:divBdr>
        </w:div>
        <w:div w:id="237788429">
          <w:marLeft w:val="806"/>
          <w:marRight w:val="0"/>
          <w:marTop w:val="0"/>
          <w:marBottom w:val="0"/>
          <w:divBdr>
            <w:top w:val="none" w:sz="0" w:space="0" w:color="auto"/>
            <w:left w:val="none" w:sz="0" w:space="0" w:color="auto"/>
            <w:bottom w:val="none" w:sz="0" w:space="0" w:color="auto"/>
            <w:right w:val="none" w:sz="0" w:space="0" w:color="auto"/>
          </w:divBdr>
        </w:div>
        <w:div w:id="1789884141">
          <w:marLeft w:val="806"/>
          <w:marRight w:val="0"/>
          <w:marTop w:val="0"/>
          <w:marBottom w:val="0"/>
          <w:divBdr>
            <w:top w:val="none" w:sz="0" w:space="0" w:color="auto"/>
            <w:left w:val="none" w:sz="0" w:space="0" w:color="auto"/>
            <w:bottom w:val="none" w:sz="0" w:space="0" w:color="auto"/>
            <w:right w:val="none" w:sz="0" w:space="0" w:color="auto"/>
          </w:divBdr>
        </w:div>
        <w:div w:id="2106993937">
          <w:marLeft w:val="806"/>
          <w:marRight w:val="0"/>
          <w:marTop w:val="0"/>
          <w:marBottom w:val="0"/>
          <w:divBdr>
            <w:top w:val="none" w:sz="0" w:space="0" w:color="auto"/>
            <w:left w:val="none" w:sz="0" w:space="0" w:color="auto"/>
            <w:bottom w:val="none" w:sz="0" w:space="0" w:color="auto"/>
            <w:right w:val="none" w:sz="0" w:space="0" w:color="auto"/>
          </w:divBdr>
        </w:div>
        <w:div w:id="13803362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fmhealth.org/michigan-model-medical-malpractice-and-patient-safety-umh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jnawrocki</cp:lastModifiedBy>
  <cp:revision>14</cp:revision>
  <cp:lastPrinted>2014-05-28T14:22:00Z</cp:lastPrinted>
  <dcterms:created xsi:type="dcterms:W3CDTF">2015-12-15T15:20:00Z</dcterms:created>
  <dcterms:modified xsi:type="dcterms:W3CDTF">2015-12-16T17:11:00Z</dcterms:modified>
</cp:coreProperties>
</file>