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0A" w:rsidRDefault="009F130A" w:rsidP="001631FD">
      <w:pPr>
        <w:jc w:val="center"/>
        <w:rPr>
          <w:b/>
          <w:sz w:val="28"/>
          <w:szCs w:val="28"/>
        </w:rPr>
      </w:pPr>
    </w:p>
    <w:p w:rsidR="00B838A2" w:rsidRDefault="00113D52" w:rsidP="00163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Outp</w:t>
      </w:r>
      <w:r w:rsidR="001631FD" w:rsidRPr="001631FD">
        <w:rPr>
          <w:b/>
          <w:sz w:val="28"/>
          <w:szCs w:val="28"/>
        </w:rPr>
        <w:t>atient Referral Response Checklist*</w:t>
      </w:r>
    </w:p>
    <w:p w:rsidR="001631FD" w:rsidRDefault="001631FD" w:rsidP="00E772E3">
      <w:pPr>
        <w:spacing w:after="120"/>
        <w:jc w:val="both"/>
        <w:rPr>
          <w:sz w:val="24"/>
          <w:szCs w:val="24"/>
        </w:rPr>
      </w:pPr>
      <w:r w:rsidRPr="001631FD">
        <w:rPr>
          <w:sz w:val="24"/>
          <w:szCs w:val="24"/>
        </w:rPr>
        <w:t>(This information can be communicated through a paper-based referral response form, detailed clinical note from last appointment or abstraction from an Electronic Medical Record)</w:t>
      </w:r>
    </w:p>
    <w:tbl>
      <w:tblPr>
        <w:tblW w:w="10242" w:type="dxa"/>
        <w:tblInd w:w="-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6"/>
        <w:gridCol w:w="4896"/>
      </w:tblGrid>
      <w:tr w:rsidR="00B95F64" w:rsidTr="009F130A">
        <w:trPr>
          <w:trHeight w:hRule="exact" w:val="499"/>
        </w:trPr>
        <w:tc>
          <w:tcPr>
            <w:tcW w:w="5346" w:type="dxa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Default="00B95F64" w:rsidP="00C84875">
            <w:pPr>
              <w:pStyle w:val="TableParagraph"/>
              <w:tabs>
                <w:tab w:val="left" w:pos="4672"/>
              </w:tabs>
              <w:spacing w:line="289" w:lineRule="exac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Patient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Name:_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4896" w:type="dxa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Default="00B95F64" w:rsidP="00C84875">
            <w:pPr>
              <w:pStyle w:val="TableParagraph"/>
              <w:tabs>
                <w:tab w:val="left" w:pos="2175"/>
                <w:tab w:val="left" w:pos="2985"/>
                <w:tab w:val="left" w:pos="3845"/>
              </w:tabs>
              <w:spacing w:line="289" w:lineRule="exac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Birth: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95F64" w:rsidTr="009F130A">
        <w:trPr>
          <w:trHeight w:hRule="exact" w:val="660"/>
        </w:trPr>
        <w:tc>
          <w:tcPr>
            <w:tcW w:w="5346" w:type="dxa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Default="00B95F64" w:rsidP="00C84875">
            <w:pPr>
              <w:pStyle w:val="TableParagraph"/>
              <w:tabs>
                <w:tab w:val="left" w:pos="4697"/>
              </w:tabs>
              <w:spacing w:line="291" w:lineRule="exac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Referring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4896" w:type="dxa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Default="00B95F64" w:rsidP="004F0995">
            <w:pPr>
              <w:pStyle w:val="TableParagraph"/>
              <w:tabs>
                <w:tab w:val="left" w:pos="3181"/>
              </w:tabs>
              <w:ind w:left="114" w:right="12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Specialist’s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Name/Practice/Contact</w:t>
            </w:r>
            <w:r>
              <w:rPr>
                <w:rFonts w:ascii="Calibri" w:eastAsia="Calibri" w:hAnsi="Calibri" w:cs="Calibri"/>
                <w:spacing w:val="29"/>
                <w:w w:val="99"/>
                <w:sz w:val="24"/>
                <w:szCs w:val="24"/>
              </w:rPr>
              <w:t xml:space="preserve"> </w:t>
            </w:r>
            <w:r w:rsidR="004F099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nformation:_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B95F64" w:rsidTr="00E772E3">
        <w:trPr>
          <w:trHeight w:hRule="exact" w:val="864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E772E3" w:rsidRDefault="00B95F64" w:rsidP="00E772E3">
            <w:pPr>
              <w:pStyle w:val="TableParagraph"/>
              <w:tabs>
                <w:tab w:val="left" w:pos="3796"/>
              </w:tabs>
              <w:spacing w:line="292" w:lineRule="exact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Referral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Visit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  <w:p w:rsidR="00B95F64" w:rsidRDefault="00B95F64" w:rsidP="00E772E3">
            <w:pPr>
              <w:pStyle w:val="TableParagraph"/>
              <w:tabs>
                <w:tab w:val="left" w:pos="9389"/>
              </w:tabs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Reason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Referral/Clinical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Question: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95F64" w:rsidTr="00E772E3">
        <w:trPr>
          <w:trHeight w:hRule="exact" w:val="115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Default="00B95F64" w:rsidP="00C84875"/>
        </w:tc>
      </w:tr>
      <w:tr w:rsidR="00B95F64" w:rsidTr="009F130A">
        <w:trPr>
          <w:trHeight w:hRule="exact" w:val="684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Diagnoses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(include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confirmed,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changed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suspected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ruled-</w:t>
            </w:r>
            <w:r w:rsidR="009F130A">
              <w:rPr>
                <w:rFonts w:ascii="Calibri"/>
                <w:spacing w:val="-1"/>
                <w:sz w:val="24"/>
              </w:rPr>
              <w:t xml:space="preserve">out </w:t>
            </w:r>
            <w:r>
              <w:rPr>
                <w:rFonts w:ascii="Calibri"/>
                <w:spacing w:val="-1"/>
                <w:sz w:val="24"/>
              </w:rPr>
              <w:t>diagnoses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pertinent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reason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referral/clinical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question)</w:t>
            </w:r>
          </w:p>
        </w:tc>
      </w:tr>
      <w:tr w:rsidR="00B95F64" w:rsidTr="009F130A">
        <w:trPr>
          <w:trHeight w:hRule="exact" w:val="972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Secondary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Diagnoses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(include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any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new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 w:rsidRPr="009F130A">
              <w:rPr>
                <w:rFonts w:ascii="Calibri"/>
                <w:spacing w:val="-1"/>
                <w:sz w:val="24"/>
              </w:rPr>
              <w:t xml:space="preserve"> or</w:t>
            </w:r>
            <w:r>
              <w:rPr>
                <w:rFonts w:ascii="Calibri"/>
                <w:spacing w:val="-1"/>
                <w:sz w:val="24"/>
              </w:rPr>
              <w:t xml:space="preserve"> suspected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disorders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 w:rsidRPr="009F130A">
              <w:rPr>
                <w:rFonts w:ascii="Calibri"/>
                <w:spacing w:val="-1"/>
                <w:sz w:val="24"/>
              </w:rPr>
              <w:t xml:space="preserve"> directly </w:t>
            </w:r>
            <w:r>
              <w:rPr>
                <w:rFonts w:ascii="Calibri"/>
                <w:spacing w:val="-1"/>
                <w:sz w:val="24"/>
              </w:rPr>
              <w:t>related</w:t>
            </w:r>
            <w:r w:rsidRPr="009F130A">
              <w:rPr>
                <w:rFonts w:ascii="Calibri"/>
                <w:spacing w:val="-1"/>
                <w:sz w:val="24"/>
              </w:rPr>
              <w:t xml:space="preserve"> to</w:t>
            </w:r>
            <w:r>
              <w:rPr>
                <w:rFonts w:ascii="Calibri"/>
                <w:spacing w:val="-1"/>
                <w:sz w:val="24"/>
              </w:rPr>
              <w:t xml:space="preserve"> referred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disorder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but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 w:rsidRPr="009F130A">
              <w:rPr>
                <w:rFonts w:ascii="Calibri"/>
                <w:spacing w:val="-1"/>
                <w:sz w:val="24"/>
              </w:rPr>
              <w:t xml:space="preserve"> may </w:t>
            </w:r>
            <w:r>
              <w:rPr>
                <w:rFonts w:ascii="Calibri"/>
                <w:spacing w:val="-1"/>
                <w:sz w:val="24"/>
              </w:rPr>
              <w:t>need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further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evaluation</w:t>
            </w:r>
            <w:r w:rsidRPr="009F130A">
              <w:rPr>
                <w:rFonts w:ascii="Calibri"/>
                <w:spacing w:val="-1"/>
                <w:sz w:val="24"/>
              </w:rPr>
              <w:t xml:space="preserve"> and/or </w:t>
            </w:r>
            <w:r>
              <w:rPr>
                <w:rFonts w:ascii="Calibri"/>
                <w:spacing w:val="-1"/>
                <w:sz w:val="24"/>
              </w:rPr>
              <w:t>management.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Clarify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</w:t>
            </w:r>
            <w:r w:rsidRPr="009F130A">
              <w:rPr>
                <w:rFonts w:ascii="Calibri"/>
                <w:spacing w:val="-1"/>
                <w:sz w:val="24"/>
              </w:rPr>
              <w:t xml:space="preserve"> primary </w:t>
            </w:r>
            <w:r>
              <w:rPr>
                <w:rFonts w:ascii="Calibri"/>
                <w:spacing w:val="-1"/>
                <w:sz w:val="24"/>
              </w:rPr>
              <w:t>responsibility</w:t>
            </w:r>
            <w:r w:rsidRPr="009F130A">
              <w:rPr>
                <w:rFonts w:ascii="Calibri"/>
                <w:spacing w:val="-1"/>
                <w:sz w:val="24"/>
              </w:rPr>
              <w:t xml:space="preserve"> for </w:t>
            </w:r>
            <w:r>
              <w:rPr>
                <w:rFonts w:ascii="Calibri"/>
                <w:spacing w:val="-1"/>
                <w:sz w:val="24"/>
              </w:rPr>
              <w:t>that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</w:t>
            </w:r>
            <w:r w:rsidRPr="009F130A">
              <w:rPr>
                <w:rFonts w:ascii="Calibri"/>
                <w:spacing w:val="-1"/>
                <w:sz w:val="24"/>
              </w:rPr>
              <w:t xml:space="preserve"> up)</w:t>
            </w:r>
          </w:p>
        </w:tc>
      </w:tr>
      <w:tr w:rsidR="00B95F64" w:rsidTr="009F130A">
        <w:trPr>
          <w:trHeight w:hRule="exact" w:val="972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Medication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changes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(include</w:t>
            </w:r>
            <w:r w:rsidRPr="009F130A">
              <w:rPr>
                <w:rFonts w:ascii="Calibri"/>
                <w:spacing w:val="-1"/>
                <w:sz w:val="24"/>
              </w:rPr>
              <w:t xml:space="preserve"> new </w:t>
            </w:r>
            <w:r>
              <w:rPr>
                <w:rFonts w:ascii="Calibri"/>
                <w:spacing w:val="-1"/>
                <w:sz w:val="24"/>
              </w:rPr>
              <w:t>medications,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samples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provided,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changes</w:t>
            </w:r>
            <w:r w:rsidRPr="009F130A">
              <w:rPr>
                <w:rFonts w:ascii="Calibri"/>
                <w:spacing w:val="-1"/>
                <w:sz w:val="24"/>
              </w:rPr>
              <w:t xml:space="preserve"> in </w:t>
            </w:r>
            <w:r>
              <w:rPr>
                <w:rFonts w:ascii="Calibri"/>
                <w:spacing w:val="-1"/>
                <w:sz w:val="24"/>
              </w:rPr>
              <w:t>dosage</w:t>
            </w:r>
            <w:r w:rsidRPr="009F130A">
              <w:rPr>
                <w:rFonts w:ascii="Calibri"/>
                <w:spacing w:val="-1"/>
                <w:sz w:val="24"/>
              </w:rPr>
              <w:t xml:space="preserve"> or</w:t>
            </w:r>
            <w:r w:rsidR="009F130A" w:rsidRPr="009F130A">
              <w:rPr>
                <w:rFonts w:ascii="Calibri"/>
                <w:spacing w:val="-1"/>
                <w:sz w:val="24"/>
              </w:rPr>
              <w:t xml:space="preserve"> </w:t>
            </w:r>
            <w:r w:rsidRPr="009F130A">
              <w:rPr>
                <w:rFonts w:ascii="Calibri"/>
                <w:spacing w:val="-1"/>
                <w:sz w:val="24"/>
              </w:rPr>
              <w:t xml:space="preserve">form </w:t>
            </w:r>
            <w:r>
              <w:rPr>
                <w:rFonts w:ascii="Calibri"/>
                <w:spacing w:val="-1"/>
                <w:sz w:val="24"/>
              </w:rPr>
              <w:t>(i.e.,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solid</w:t>
            </w:r>
            <w:r w:rsidRPr="009F130A">
              <w:rPr>
                <w:rFonts w:ascii="Calibri"/>
                <w:spacing w:val="-1"/>
                <w:sz w:val="24"/>
              </w:rPr>
              <w:t xml:space="preserve"> to </w:t>
            </w:r>
            <w:r>
              <w:rPr>
                <w:rFonts w:ascii="Calibri"/>
                <w:spacing w:val="-1"/>
                <w:sz w:val="24"/>
              </w:rPr>
              <w:t>liquid),</w:t>
            </w:r>
            <w:r w:rsidRPr="009F130A">
              <w:rPr>
                <w:rFonts w:ascii="Calibri"/>
                <w:spacing w:val="-1"/>
                <w:sz w:val="24"/>
              </w:rPr>
              <w:t xml:space="preserve"> and any </w:t>
            </w:r>
            <w:r>
              <w:rPr>
                <w:rFonts w:ascii="Calibri"/>
                <w:spacing w:val="-1"/>
                <w:sz w:val="24"/>
              </w:rPr>
              <w:t>medications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discontinued.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 w:rsidRPr="009F130A">
              <w:rPr>
                <w:rFonts w:ascii="Calibri"/>
                <w:spacing w:val="-1"/>
                <w:sz w:val="24"/>
              </w:rPr>
              <w:t xml:space="preserve"> any changes have </w:t>
            </w:r>
            <w:r>
              <w:rPr>
                <w:rFonts w:ascii="Calibri"/>
                <w:spacing w:val="-1"/>
                <w:sz w:val="24"/>
              </w:rPr>
              <w:t>already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 instituted</w:t>
            </w:r>
            <w:r w:rsidRPr="009F130A">
              <w:rPr>
                <w:rFonts w:ascii="Calibri"/>
                <w:spacing w:val="-1"/>
                <w:sz w:val="24"/>
              </w:rPr>
              <w:t xml:space="preserve"> or </w:t>
            </w:r>
            <w:r>
              <w:rPr>
                <w:rFonts w:ascii="Calibri"/>
                <w:spacing w:val="-1"/>
                <w:sz w:val="24"/>
              </w:rPr>
              <w:t>need</w:t>
            </w:r>
            <w:r w:rsidRPr="009F130A">
              <w:rPr>
                <w:rFonts w:ascii="Calibri"/>
                <w:spacing w:val="-1"/>
                <w:sz w:val="24"/>
              </w:rPr>
              <w:t xml:space="preserve"> to be </w:t>
            </w:r>
            <w:r>
              <w:rPr>
                <w:rFonts w:ascii="Calibri"/>
                <w:spacing w:val="-1"/>
                <w:sz w:val="24"/>
              </w:rPr>
              <w:t>instituted</w:t>
            </w:r>
            <w:r w:rsidRPr="009F130A">
              <w:rPr>
                <w:rFonts w:ascii="Calibri"/>
                <w:spacing w:val="-1"/>
                <w:sz w:val="24"/>
              </w:rPr>
              <w:t xml:space="preserve"> by </w:t>
            </w:r>
            <w:r>
              <w:rPr>
                <w:rFonts w:ascii="Calibri"/>
                <w:spacing w:val="-1"/>
                <w:sz w:val="24"/>
              </w:rPr>
              <w:t>PCMH</w:t>
            </w:r>
          </w:p>
        </w:tc>
      </w:tr>
      <w:tr w:rsidR="00B95F64" w:rsidTr="009F130A">
        <w:trPr>
          <w:trHeight w:hRule="exact" w:val="660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Equipment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changes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(include</w:t>
            </w:r>
            <w:r w:rsidRPr="009F130A">
              <w:rPr>
                <w:rFonts w:ascii="Calibri"/>
                <w:spacing w:val="-1"/>
                <w:sz w:val="24"/>
              </w:rPr>
              <w:t xml:space="preserve"> new, </w:t>
            </w:r>
            <w:r>
              <w:rPr>
                <w:rFonts w:ascii="Calibri"/>
                <w:spacing w:val="-1"/>
                <w:sz w:val="24"/>
              </w:rPr>
              <w:t>changed</w:t>
            </w:r>
            <w:r w:rsidRPr="009F130A">
              <w:rPr>
                <w:rFonts w:ascii="Calibri"/>
                <w:spacing w:val="-1"/>
                <w:sz w:val="24"/>
              </w:rPr>
              <w:t xml:space="preserve"> or </w:t>
            </w:r>
            <w:r>
              <w:rPr>
                <w:rFonts w:ascii="Calibri"/>
                <w:spacing w:val="-1"/>
                <w:sz w:val="24"/>
              </w:rPr>
              <w:t>discontinued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items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whether</w:t>
            </w:r>
            <w:r w:rsidRPr="009F130A">
              <w:rPr>
                <w:rFonts w:ascii="Calibri"/>
                <w:spacing w:val="-1"/>
                <w:sz w:val="24"/>
              </w:rPr>
              <w:t xml:space="preserve"> any </w:t>
            </w:r>
            <w:r>
              <w:rPr>
                <w:rFonts w:ascii="Calibri"/>
                <w:spacing w:val="-1"/>
                <w:sz w:val="24"/>
              </w:rPr>
              <w:t>changes</w:t>
            </w:r>
            <w:r w:rsidRPr="009F130A">
              <w:rPr>
                <w:rFonts w:ascii="Calibri"/>
                <w:spacing w:val="-1"/>
                <w:sz w:val="24"/>
              </w:rPr>
              <w:t xml:space="preserve"> have </w:t>
            </w:r>
            <w:r>
              <w:rPr>
                <w:rFonts w:ascii="Calibri"/>
                <w:spacing w:val="-1"/>
                <w:sz w:val="24"/>
              </w:rPr>
              <w:t>already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instituted</w:t>
            </w:r>
            <w:r w:rsidRPr="009F130A">
              <w:rPr>
                <w:rFonts w:ascii="Calibri"/>
                <w:spacing w:val="-1"/>
                <w:sz w:val="24"/>
              </w:rPr>
              <w:t xml:space="preserve"> or </w:t>
            </w:r>
            <w:r>
              <w:rPr>
                <w:rFonts w:ascii="Calibri"/>
                <w:spacing w:val="-1"/>
                <w:sz w:val="24"/>
              </w:rPr>
              <w:t>need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instituted</w:t>
            </w:r>
            <w:r w:rsidRPr="009F130A">
              <w:rPr>
                <w:rFonts w:ascii="Calibri"/>
                <w:spacing w:val="-1"/>
                <w:sz w:val="24"/>
              </w:rPr>
              <w:t xml:space="preserve"> by </w:t>
            </w:r>
            <w:r>
              <w:rPr>
                <w:rFonts w:ascii="Calibri"/>
                <w:spacing w:val="-1"/>
                <w:sz w:val="24"/>
              </w:rPr>
              <w:t>PCMH</w:t>
            </w:r>
          </w:p>
        </w:tc>
      </w:tr>
      <w:tr w:rsidR="00B95F64" w:rsidTr="009F130A">
        <w:trPr>
          <w:trHeight w:hRule="exact" w:val="675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Diagnostic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testing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(include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results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 w:rsidR="009F130A" w:rsidRPr="009F130A">
              <w:rPr>
                <w:rFonts w:ascii="Calibri"/>
                <w:spacing w:val="-1"/>
                <w:sz w:val="24"/>
              </w:rPr>
              <w:t xml:space="preserve">completed </w:t>
            </w:r>
            <w:r w:rsidR="009F130A">
              <w:rPr>
                <w:rFonts w:ascii="Calibri"/>
                <w:spacing w:val="-1"/>
                <w:sz w:val="24"/>
              </w:rPr>
              <w:t>tests</w:t>
            </w:r>
            <w:r>
              <w:rPr>
                <w:rFonts w:ascii="Calibri"/>
                <w:spacing w:val="-1"/>
                <w:sz w:val="24"/>
              </w:rPr>
              <w:t>,</w:t>
            </w:r>
            <w:r w:rsidRPr="009F130A">
              <w:rPr>
                <w:rFonts w:ascii="Calibri"/>
                <w:spacing w:val="-1"/>
                <w:sz w:val="24"/>
              </w:rPr>
              <w:t xml:space="preserve"> tests </w:t>
            </w:r>
            <w:r>
              <w:rPr>
                <w:rFonts w:ascii="Calibri"/>
                <w:spacing w:val="-1"/>
                <w:sz w:val="24"/>
              </w:rPr>
              <w:t>that</w:t>
            </w:r>
            <w:r w:rsidRPr="009F130A">
              <w:rPr>
                <w:rFonts w:ascii="Calibri"/>
                <w:spacing w:val="-1"/>
                <w:sz w:val="24"/>
              </w:rPr>
              <w:t xml:space="preserve"> have </w:t>
            </w:r>
            <w:r>
              <w:rPr>
                <w:rFonts w:ascii="Calibri"/>
                <w:spacing w:val="-1"/>
                <w:sz w:val="24"/>
              </w:rPr>
              <w:t>results</w:t>
            </w:r>
            <w:r w:rsidR="009F130A"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pending</w:t>
            </w:r>
            <w:r w:rsidRPr="009F130A">
              <w:rPr>
                <w:rFonts w:ascii="Calibri"/>
                <w:spacing w:val="-1"/>
                <w:sz w:val="24"/>
              </w:rPr>
              <w:t xml:space="preserve"> and </w:t>
            </w:r>
            <w:r>
              <w:rPr>
                <w:rFonts w:ascii="Calibri"/>
                <w:spacing w:val="-1"/>
                <w:sz w:val="24"/>
              </w:rPr>
              <w:t>tests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scheduled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 w:rsidRPr="009F130A">
              <w:rPr>
                <w:rFonts w:ascii="Calibri"/>
                <w:spacing w:val="-1"/>
                <w:sz w:val="24"/>
              </w:rPr>
              <w:t xml:space="preserve"> clarify </w:t>
            </w:r>
            <w:r>
              <w:rPr>
                <w:rFonts w:ascii="Calibri"/>
                <w:spacing w:val="-1"/>
                <w:sz w:val="24"/>
              </w:rPr>
              <w:t>whether</w:t>
            </w:r>
            <w:r w:rsidRPr="009F130A">
              <w:rPr>
                <w:rFonts w:ascii="Calibri"/>
                <w:spacing w:val="-1"/>
                <w:sz w:val="24"/>
              </w:rPr>
              <w:t xml:space="preserve"> Neighbor or PCMH needs to </w:t>
            </w:r>
            <w:r>
              <w:rPr>
                <w:rFonts w:ascii="Calibri"/>
                <w:spacing w:val="-1"/>
                <w:sz w:val="24"/>
              </w:rPr>
              <w:t>follow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up)</w:t>
            </w:r>
          </w:p>
        </w:tc>
      </w:tr>
      <w:tr w:rsidR="00B95F64" w:rsidTr="009F130A">
        <w:trPr>
          <w:trHeight w:hRule="exact" w:val="663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Patient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(include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completed,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scheduled</w:t>
            </w:r>
            <w:r w:rsidRPr="009F130A">
              <w:rPr>
                <w:rFonts w:ascii="Calibri"/>
                <w:spacing w:val="-1"/>
                <w:sz w:val="24"/>
              </w:rPr>
              <w:t xml:space="preserve"> or </w:t>
            </w:r>
            <w:r>
              <w:rPr>
                <w:rFonts w:ascii="Calibri"/>
                <w:spacing w:val="-1"/>
                <w:sz w:val="24"/>
              </w:rPr>
              <w:t>recommended</w:t>
            </w:r>
            <w:r w:rsidRPr="009F130A">
              <w:rPr>
                <w:rFonts w:ascii="Calibri"/>
                <w:spacing w:val="-1"/>
                <w:sz w:val="24"/>
              </w:rPr>
              <w:t xml:space="preserve"> as </w:t>
            </w:r>
            <w:r>
              <w:rPr>
                <w:rFonts w:ascii="Calibri"/>
                <w:spacing w:val="-1"/>
                <w:sz w:val="24"/>
              </w:rPr>
              <w:t>well</w:t>
            </w:r>
            <w:r w:rsidRPr="009F130A">
              <w:rPr>
                <w:rFonts w:ascii="Calibri"/>
                <w:spacing w:val="-1"/>
                <w:sz w:val="24"/>
              </w:rPr>
              <w:t xml:space="preserve"> as </w:t>
            </w:r>
            <w:r>
              <w:rPr>
                <w:rFonts w:ascii="Calibri"/>
                <w:spacing w:val="-1"/>
                <w:sz w:val="24"/>
              </w:rPr>
              <w:t>patient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provided)</w:t>
            </w:r>
          </w:p>
        </w:tc>
      </w:tr>
      <w:tr w:rsidR="00B95F64" w:rsidTr="009F130A">
        <w:trPr>
          <w:trHeight w:hRule="exact" w:val="660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Procedures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(include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 w:rsidR="009F130A">
              <w:rPr>
                <w:rFonts w:ascii="Calibri"/>
                <w:spacing w:val="-1"/>
                <w:sz w:val="24"/>
              </w:rPr>
              <w:t>those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completed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results/outcomes;</w:t>
            </w:r>
            <w:r w:rsidRPr="009F130A">
              <w:rPr>
                <w:rFonts w:ascii="Calibri"/>
                <w:spacing w:val="-1"/>
                <w:sz w:val="24"/>
              </w:rPr>
              <w:t xml:space="preserve"> list </w:t>
            </w:r>
            <w:r>
              <w:rPr>
                <w:rFonts w:ascii="Calibri"/>
                <w:spacing w:val="-1"/>
                <w:sz w:val="24"/>
              </w:rPr>
              <w:t>other</w:t>
            </w:r>
            <w:r w:rsidR="009F130A">
              <w:rPr>
                <w:rFonts w:ascii="Calibri"/>
                <w:spacing w:val="-1"/>
                <w:sz w:val="24"/>
              </w:rPr>
              <w:t>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scheduled/</w:t>
            </w:r>
            <w:r w:rsid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recommended)</w:t>
            </w:r>
          </w:p>
        </w:tc>
      </w:tr>
      <w:tr w:rsidR="00B95F64" w:rsidTr="009F130A">
        <w:trPr>
          <w:trHeight w:hRule="exact" w:val="441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  <w:r w:rsidRPr="009F130A">
              <w:rPr>
                <w:rFonts w:ascii="Calibri"/>
                <w:spacing w:val="-1"/>
                <w:sz w:val="24"/>
              </w:rPr>
              <w:t xml:space="preserve">Referrals: </w:t>
            </w:r>
            <w:r>
              <w:rPr>
                <w:rFonts w:ascii="Calibri"/>
                <w:spacing w:val="-1"/>
                <w:sz w:val="24"/>
              </w:rPr>
              <w:t>(include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referrals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completed,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scheduled</w:t>
            </w:r>
            <w:r w:rsidRPr="009F130A">
              <w:rPr>
                <w:rFonts w:ascii="Calibri"/>
                <w:spacing w:val="-1"/>
                <w:sz w:val="24"/>
              </w:rPr>
              <w:t xml:space="preserve"> or </w:t>
            </w:r>
            <w:r>
              <w:rPr>
                <w:rFonts w:ascii="Calibri"/>
                <w:spacing w:val="-1"/>
                <w:sz w:val="24"/>
              </w:rPr>
              <w:t>recommended</w:t>
            </w:r>
            <w:r w:rsidRPr="009F130A">
              <w:rPr>
                <w:rFonts w:ascii="Calibri"/>
                <w:spacing w:val="-1"/>
                <w:sz w:val="24"/>
              </w:rPr>
              <w:t xml:space="preserve"> and </w:t>
            </w:r>
            <w:r>
              <w:rPr>
                <w:rFonts w:ascii="Calibri"/>
                <w:spacing w:val="-1"/>
                <w:sz w:val="24"/>
              </w:rPr>
              <w:t>reason</w:t>
            </w:r>
            <w:r w:rsidR="009F130A">
              <w:rPr>
                <w:rFonts w:ascii="Calibri"/>
                <w:spacing w:val="-1"/>
                <w:sz w:val="24"/>
              </w:rPr>
              <w:t>s</w:t>
            </w:r>
            <w:r w:rsidRPr="009F130A">
              <w:rPr>
                <w:rFonts w:ascii="Calibri"/>
                <w:spacing w:val="-1"/>
                <w:sz w:val="24"/>
              </w:rPr>
              <w:t xml:space="preserve"> for</w:t>
            </w:r>
            <w:r w:rsidR="009F130A">
              <w:rPr>
                <w:rFonts w:ascii="Calibri"/>
                <w:spacing w:val="-1"/>
                <w:sz w:val="24"/>
              </w:rPr>
              <w:t xml:space="preserve"> each</w:t>
            </w:r>
            <w:r>
              <w:rPr>
                <w:rFonts w:ascii="Calibri"/>
                <w:spacing w:val="-1"/>
                <w:sz w:val="24"/>
              </w:rPr>
              <w:t>)</w:t>
            </w:r>
          </w:p>
        </w:tc>
      </w:tr>
      <w:tr w:rsidR="00B95F64" w:rsidTr="009F130A">
        <w:trPr>
          <w:trHeight w:hRule="exact" w:val="972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  <w:r w:rsidRPr="009F130A">
              <w:rPr>
                <w:rFonts w:ascii="Calibri"/>
                <w:spacing w:val="-1"/>
                <w:sz w:val="24"/>
              </w:rPr>
              <w:t>Follow up (list any recommended change to the referral type (e.g. consultation to shared care or “first call” responsibility for condition;  further follow up that is recommended with specialist or PCMH (specify time frame and whether scheduled))</w:t>
            </w:r>
          </w:p>
        </w:tc>
      </w:tr>
      <w:tr w:rsidR="00B95F64" w:rsidTr="009F130A">
        <w:trPr>
          <w:trHeight w:hRule="exact" w:val="423"/>
        </w:trPr>
        <w:tc>
          <w:tcPr>
            <w:tcW w:w="10242" w:type="dxa"/>
            <w:gridSpan w:val="2"/>
            <w:tcBorders>
              <w:top w:val="single" w:sz="18" w:space="0" w:color="DBE4F0"/>
              <w:left w:val="single" w:sz="17" w:space="0" w:color="DBE4F0"/>
              <w:bottom w:val="single" w:sz="18" w:space="0" w:color="DBE4F0"/>
              <w:right w:val="single" w:sz="17" w:space="0" w:color="DBE4F0"/>
            </w:tcBorders>
            <w:shd w:val="clear" w:color="auto" w:fill="DBE4F0"/>
          </w:tcPr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  <w:r w:rsidRPr="009F130A">
              <w:rPr>
                <w:rFonts w:ascii="Calibri"/>
                <w:spacing w:val="-1"/>
                <w:sz w:val="24"/>
              </w:rPr>
              <w:t xml:space="preserve">Indicate any </w:t>
            </w:r>
            <w:r>
              <w:rPr>
                <w:rFonts w:ascii="Calibri"/>
                <w:spacing w:val="-1"/>
                <w:sz w:val="24"/>
              </w:rPr>
              <w:t>special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requests</w:t>
            </w:r>
            <w:r w:rsidRPr="009F130A">
              <w:rPr>
                <w:rFonts w:ascii="Calibri"/>
                <w:spacing w:val="-1"/>
                <w:sz w:val="24"/>
              </w:rPr>
              <w:t xml:space="preserve"> or </w:t>
            </w:r>
            <w:r>
              <w:rPr>
                <w:rFonts w:ascii="Calibri"/>
                <w:spacing w:val="-1"/>
                <w:sz w:val="24"/>
              </w:rPr>
              <w:t>other</w:t>
            </w:r>
            <w:r w:rsidRPr="009F130A"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recommendations:</w:t>
            </w:r>
          </w:p>
          <w:p w:rsidR="00B95F64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</w:p>
          <w:p w:rsidR="00B95F64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</w:p>
          <w:p w:rsidR="00B95F64" w:rsidRPr="009F130A" w:rsidRDefault="00B95F64" w:rsidP="009F130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right="686"/>
              <w:rPr>
                <w:rFonts w:ascii="Calibri"/>
                <w:spacing w:val="-1"/>
                <w:sz w:val="24"/>
              </w:rPr>
            </w:pPr>
          </w:p>
        </w:tc>
      </w:tr>
    </w:tbl>
    <w:p w:rsidR="009F130A" w:rsidRDefault="009F130A" w:rsidP="009F130A">
      <w:pPr>
        <w:spacing w:after="120"/>
        <w:jc w:val="both"/>
      </w:pPr>
    </w:p>
    <w:p w:rsidR="009F130A" w:rsidRPr="009F130A" w:rsidRDefault="009F130A" w:rsidP="001631FD">
      <w:pPr>
        <w:jc w:val="both"/>
        <w:rPr>
          <w:sz w:val="20"/>
          <w:szCs w:val="20"/>
        </w:rPr>
      </w:pPr>
      <w:r>
        <w:t>*</w:t>
      </w:r>
      <w:r w:rsidRPr="009F130A">
        <w:t>The above should be presented as a stand-alone document or as the first page of a complete response note that includes a history and physical (H&amp;P), full evaluation and other relevant information. This</w:t>
      </w:r>
      <w:r w:rsidR="00E772E3">
        <w:t xml:space="preserve"> </w:t>
      </w:r>
      <w:r w:rsidRPr="009F130A">
        <w:lastRenderedPageBreak/>
        <w:t>should reach the referring and other pertinent providers that are part of the patient’s care team, in a timely fashion, such as within one week of the referral visit if not sooner</w:t>
      </w:r>
      <w:r w:rsidRPr="009F130A">
        <w:rPr>
          <w:sz w:val="20"/>
          <w:szCs w:val="20"/>
        </w:rPr>
        <w:t>.</w:t>
      </w:r>
    </w:p>
    <w:sectPr w:rsidR="009F130A" w:rsidRPr="009F1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45" w:rsidRDefault="00AB5B45" w:rsidP="00AB5B45">
      <w:pPr>
        <w:spacing w:after="0" w:line="240" w:lineRule="auto"/>
      </w:pPr>
      <w:r>
        <w:separator/>
      </w:r>
    </w:p>
  </w:endnote>
  <w:endnote w:type="continuationSeparator" w:id="0">
    <w:p w:rsidR="00AB5B45" w:rsidRDefault="00AB5B45" w:rsidP="00A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45" w:rsidRDefault="00AB5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45" w:rsidRPr="00683B9B" w:rsidRDefault="00AB5B45" w:rsidP="00AB5B45">
    <w:pPr>
      <w:pStyle w:val="Footer"/>
    </w:pPr>
    <w:r w:rsidRPr="00683B9B">
      <w:t>http://www.acponline.org/hvcc-training</w:t>
    </w:r>
  </w:p>
  <w:p w:rsidR="00AB5B45" w:rsidRDefault="00AB5B4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45" w:rsidRDefault="00AB5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45" w:rsidRDefault="00AB5B45" w:rsidP="00AB5B45">
      <w:pPr>
        <w:spacing w:after="0" w:line="240" w:lineRule="auto"/>
      </w:pPr>
      <w:r>
        <w:separator/>
      </w:r>
    </w:p>
  </w:footnote>
  <w:footnote w:type="continuationSeparator" w:id="0">
    <w:p w:rsidR="00AB5B45" w:rsidRDefault="00AB5B45" w:rsidP="00AB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45" w:rsidRDefault="00AB5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45" w:rsidRDefault="00AB5B45">
    <w:pPr>
      <w:pStyle w:val="Header"/>
    </w:pPr>
    <w:r>
      <w:rPr>
        <w:noProof/>
      </w:rPr>
      <w:drawing>
        <wp:inline distT="0" distB="0" distL="0" distR="0" wp14:anchorId="58039A9E" wp14:editId="1D4F9304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B45" w:rsidRDefault="00AB5B45">
    <w:pPr>
      <w:pStyle w:val="Header"/>
    </w:pPr>
  </w:p>
  <w:p w:rsidR="00AB5B45" w:rsidRDefault="00AB5B45">
    <w:pPr>
      <w:pStyle w:val="Header"/>
    </w:pPr>
    <w:r>
      <w:t>ACTION STEP 3</w:t>
    </w:r>
  </w:p>
  <w:p w:rsidR="00AB5B45" w:rsidRDefault="00AB5B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45" w:rsidRDefault="00AB5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7E8"/>
    <w:multiLevelType w:val="hybridMultilevel"/>
    <w:tmpl w:val="F236C4F2"/>
    <w:lvl w:ilvl="0" w:tplc="0224741E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44585DB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2F007E6E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C638E55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C73E29CE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70C3FCA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85A2304C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1BA255A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78CC8DE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1">
    <w:nsid w:val="11C84EA4"/>
    <w:multiLevelType w:val="hybridMultilevel"/>
    <w:tmpl w:val="4976A6D2"/>
    <w:lvl w:ilvl="0" w:tplc="40A08744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B50ABB0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34667750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756A1F8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10D0479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9308E54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CA20CE7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94983876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782A7788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2">
    <w:nsid w:val="14843FB3"/>
    <w:multiLevelType w:val="hybridMultilevel"/>
    <w:tmpl w:val="0A00F782"/>
    <w:lvl w:ilvl="0" w:tplc="B73E4C48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E7680358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9D323608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BA8978E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CABC39C0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89C71F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E084C2F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5AE2E670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FC968A8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3">
    <w:nsid w:val="157A277E"/>
    <w:multiLevelType w:val="hybridMultilevel"/>
    <w:tmpl w:val="98A0AEFA"/>
    <w:lvl w:ilvl="0" w:tplc="2F90FC1C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4D204B8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73D2A3C2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D05CF07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A318546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15A227BC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AA1C9EF0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E62E2C00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69D44258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4">
    <w:nsid w:val="23454C0F"/>
    <w:multiLevelType w:val="hybridMultilevel"/>
    <w:tmpl w:val="2394496E"/>
    <w:lvl w:ilvl="0" w:tplc="67F0C4E0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6780039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9FCA9D40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D6CA748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24424C9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99C457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A9A8182E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6002FB6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C780F9B2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5">
    <w:nsid w:val="24452EBD"/>
    <w:multiLevelType w:val="hybridMultilevel"/>
    <w:tmpl w:val="65A85BA8"/>
    <w:lvl w:ilvl="0" w:tplc="CA803AA8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B022780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0F708B9A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EACC7E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6FF6B5A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C30AFDDA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300E070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B400E71C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CC100562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6">
    <w:nsid w:val="4F6C19AE"/>
    <w:multiLevelType w:val="hybridMultilevel"/>
    <w:tmpl w:val="96DCEE06"/>
    <w:lvl w:ilvl="0" w:tplc="E482DFD2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0F80013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B16E5070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5D980CB8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44BC692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D64CD80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2584974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898C710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53E870D0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7">
    <w:nsid w:val="57104A1A"/>
    <w:multiLevelType w:val="hybridMultilevel"/>
    <w:tmpl w:val="2EE6B9DE"/>
    <w:lvl w:ilvl="0" w:tplc="0C44E346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9F34FDA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93361032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C3866F5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4EE93D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A6E89E10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89E4778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19F07922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981C1124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8">
    <w:nsid w:val="5DE56618"/>
    <w:multiLevelType w:val="hybridMultilevel"/>
    <w:tmpl w:val="F75AFA92"/>
    <w:lvl w:ilvl="0" w:tplc="5F640B34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4E2089C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88048A12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77742F7E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5138502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B806628E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EFCAB5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DE9EF114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0C52FEAE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9">
    <w:nsid w:val="60655411"/>
    <w:multiLevelType w:val="hybridMultilevel"/>
    <w:tmpl w:val="CC1CEED4"/>
    <w:lvl w:ilvl="0" w:tplc="F58C9E04">
      <w:start w:val="1"/>
      <w:numFmt w:val="bullet"/>
      <w:lvlText w:val=""/>
      <w:lvlJc w:val="left"/>
      <w:pPr>
        <w:ind w:left="834" w:hanging="360"/>
      </w:pPr>
      <w:rPr>
        <w:rFonts w:ascii="Wingdings" w:eastAsia="Wingdings" w:hAnsi="Wingdings" w:hint="default"/>
        <w:sz w:val="24"/>
        <w:szCs w:val="24"/>
      </w:rPr>
    </w:lvl>
    <w:lvl w:ilvl="1" w:tplc="AF34D7E8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7DDE0EB8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1382BB52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816A58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5D9A5594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6420827E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D36EC5A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BCD2516E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FD"/>
    <w:rsid w:val="00113D52"/>
    <w:rsid w:val="001631FD"/>
    <w:rsid w:val="004F0995"/>
    <w:rsid w:val="009F130A"/>
    <w:rsid w:val="00AB5B45"/>
    <w:rsid w:val="00B838A2"/>
    <w:rsid w:val="00B95F64"/>
    <w:rsid w:val="00E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95F6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95F64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45"/>
  </w:style>
  <w:style w:type="paragraph" w:styleId="Footer">
    <w:name w:val="footer"/>
    <w:basedOn w:val="Normal"/>
    <w:link w:val="FooterChar"/>
    <w:uiPriority w:val="99"/>
    <w:unhideWhenUsed/>
    <w:rsid w:val="00AB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45"/>
  </w:style>
  <w:style w:type="paragraph" w:styleId="BalloonText">
    <w:name w:val="Balloon Text"/>
    <w:basedOn w:val="Normal"/>
    <w:link w:val="BalloonTextChar"/>
    <w:uiPriority w:val="99"/>
    <w:semiHidden/>
    <w:unhideWhenUsed/>
    <w:rsid w:val="00AB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95F6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95F64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45"/>
  </w:style>
  <w:style w:type="paragraph" w:styleId="Footer">
    <w:name w:val="footer"/>
    <w:basedOn w:val="Normal"/>
    <w:link w:val="FooterChar"/>
    <w:uiPriority w:val="99"/>
    <w:unhideWhenUsed/>
    <w:rsid w:val="00AB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45"/>
  </w:style>
  <w:style w:type="paragraph" w:styleId="BalloonText">
    <w:name w:val="Balloon Text"/>
    <w:basedOn w:val="Normal"/>
    <w:link w:val="BalloonTextChar"/>
    <w:uiPriority w:val="99"/>
    <w:semiHidden/>
    <w:unhideWhenUsed/>
    <w:rsid w:val="00AB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Sipler</dc:creator>
  <cp:lastModifiedBy>Windows User</cp:lastModifiedBy>
  <cp:revision>2</cp:revision>
  <dcterms:created xsi:type="dcterms:W3CDTF">2017-08-18T13:15:00Z</dcterms:created>
  <dcterms:modified xsi:type="dcterms:W3CDTF">2017-08-18T13:15:00Z</dcterms:modified>
</cp:coreProperties>
</file>